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7C906" w14:textId="4209CE03" w:rsidR="00B844F0" w:rsidRDefault="00075F11" w:rsidP="000A2A48">
      <w:pPr>
        <w:jc w:val="center"/>
        <w:rPr>
          <w:rFonts w:ascii="Arial" w:hAnsi="Arial" w:cs="Arial"/>
          <w:sz w:val="18"/>
          <w:szCs w:val="18"/>
        </w:rPr>
      </w:pPr>
      <w:r w:rsidRPr="00B372A2">
        <w:rPr>
          <w:rFonts w:ascii="Arial" w:hAnsi="Arial" w:cs="Arial"/>
          <w:b/>
          <w:sz w:val="18"/>
          <w:szCs w:val="18"/>
        </w:rPr>
        <w:t>Introducción</w:t>
      </w:r>
    </w:p>
    <w:p w14:paraId="6AE7F3EE" w14:textId="77777777" w:rsidR="00FF41A1" w:rsidRDefault="00FF41A1" w:rsidP="00FF41A1">
      <w:pPr>
        <w:jc w:val="both"/>
        <w:rPr>
          <w:rFonts w:ascii="Arial" w:hAnsi="Arial" w:cs="Arial"/>
          <w:sz w:val="18"/>
          <w:szCs w:val="18"/>
        </w:rPr>
      </w:pPr>
      <w:r>
        <w:rPr>
          <w:rFonts w:ascii="Arial" w:hAnsi="Arial" w:cs="Arial"/>
          <w:sz w:val="18"/>
          <w:szCs w:val="18"/>
        </w:rPr>
        <w:t xml:space="preserve">El Gobierno del Estado a través del Fondo Macro para el Desarrollo Integral de Tlaxcala “FOMTLAX”, apoya al desarrollo de las micro y pequeñas empresas de los diversos sectores económicos con el otorgamiento de créditos para proyectos productivos, fomentando el empleo, a </w:t>
      </w:r>
      <w:proofErr w:type="spellStart"/>
      <w:r>
        <w:rPr>
          <w:rFonts w:ascii="Arial" w:hAnsi="Arial" w:cs="Arial"/>
          <w:sz w:val="18"/>
          <w:szCs w:val="18"/>
        </w:rPr>
        <w:t>fín</w:t>
      </w:r>
      <w:proofErr w:type="spellEnd"/>
      <w:r>
        <w:rPr>
          <w:rFonts w:ascii="Arial" w:hAnsi="Arial" w:cs="Arial"/>
          <w:sz w:val="18"/>
          <w:szCs w:val="18"/>
        </w:rPr>
        <w:t xml:space="preserve"> de mejorar el ingreso de las familias tlaxcaltecas.</w:t>
      </w:r>
    </w:p>
    <w:p w14:paraId="5F85EE5D" w14:textId="77777777" w:rsidR="00FF41A1" w:rsidRDefault="00FF41A1" w:rsidP="00FF41A1">
      <w:pPr>
        <w:jc w:val="both"/>
        <w:rPr>
          <w:rFonts w:ascii="Arial" w:hAnsi="Arial" w:cs="Arial"/>
          <w:sz w:val="18"/>
          <w:szCs w:val="18"/>
        </w:rPr>
      </w:pPr>
      <w:r>
        <w:rPr>
          <w:rFonts w:ascii="Arial" w:hAnsi="Arial" w:cs="Arial"/>
          <w:sz w:val="18"/>
          <w:szCs w:val="18"/>
        </w:rPr>
        <w:t>En el mes de septiembre inició la nueva administración pública estatal, bajo los principios de la cuarta transformación como lo ha instruido la Lic. Lorena Cuéllar Cisneros, Gobernadora del Estado, brindando un servicio a la ciudadanía, basado en la equidad de género y transparencia, en apego a los lineamientos del “Programa de Financiamiento de Proyectos Productivos” que opera el “FOMTLAX”.</w:t>
      </w:r>
    </w:p>
    <w:p w14:paraId="30165E32" w14:textId="77777777" w:rsidR="00FF41A1" w:rsidRDefault="00FF41A1" w:rsidP="00FF41A1">
      <w:pPr>
        <w:jc w:val="both"/>
        <w:rPr>
          <w:rFonts w:ascii="Arial" w:hAnsi="Arial" w:cs="Arial"/>
          <w:sz w:val="18"/>
          <w:szCs w:val="18"/>
        </w:rPr>
      </w:pPr>
      <w:r>
        <w:rPr>
          <w:rFonts w:ascii="Arial" w:hAnsi="Arial" w:cs="Arial"/>
          <w:sz w:val="18"/>
          <w:szCs w:val="18"/>
        </w:rPr>
        <w:t xml:space="preserve">Del mes de enero al mes de diciembre, se brindó orientación a 1,785 personas interesadas en obtener un crédito, recibiéndose 1,438 solicitudes, otorgándose 1,117 créditos, con una inversión de 26 MDP, que beneficiaron a más de 4 mil personas. Lo anterior aprobado en 33 sesiones ordinarias del Comité de Crédito Interno de este Organismo. </w:t>
      </w:r>
    </w:p>
    <w:p w14:paraId="65287A08" w14:textId="77777777" w:rsidR="00FF41A1" w:rsidRDefault="00FF41A1" w:rsidP="00FF41A1">
      <w:pPr>
        <w:pStyle w:val="Prrafodelista"/>
        <w:suppressAutoHyphens/>
        <w:autoSpaceDE w:val="0"/>
        <w:autoSpaceDN w:val="0"/>
        <w:adjustRightInd w:val="0"/>
        <w:spacing w:after="0" w:line="240" w:lineRule="auto"/>
        <w:ind w:left="0"/>
        <w:jc w:val="both"/>
        <w:rPr>
          <w:rFonts w:ascii="Arial" w:hAnsi="Arial" w:cs="Arial"/>
          <w:sz w:val="18"/>
          <w:szCs w:val="18"/>
        </w:rPr>
      </w:pPr>
      <w:r>
        <w:rPr>
          <w:rFonts w:ascii="Arial" w:hAnsi="Arial" w:cs="Arial"/>
          <w:sz w:val="18"/>
          <w:szCs w:val="18"/>
        </w:rPr>
        <w:t xml:space="preserve">Se llevaron a cabo pláticas de promoción sobre el “Programa de Financiamiento de Proyectos Productivos” en los municipios de: Chiautempan, Santa Apolonia Teacalco, Nativitas, Santa Isabel </w:t>
      </w:r>
      <w:proofErr w:type="spellStart"/>
      <w:r>
        <w:rPr>
          <w:rFonts w:ascii="Arial" w:hAnsi="Arial" w:cs="Arial"/>
          <w:sz w:val="18"/>
          <w:szCs w:val="18"/>
        </w:rPr>
        <w:t>Tetlatlahuca</w:t>
      </w:r>
      <w:proofErr w:type="spellEnd"/>
      <w:r>
        <w:rPr>
          <w:rFonts w:ascii="Arial" w:hAnsi="Arial" w:cs="Arial"/>
          <w:sz w:val="18"/>
          <w:szCs w:val="18"/>
        </w:rPr>
        <w:t xml:space="preserve">, Tlaxco, San Juan </w:t>
      </w:r>
      <w:proofErr w:type="spellStart"/>
      <w:r>
        <w:rPr>
          <w:rFonts w:ascii="Arial" w:hAnsi="Arial" w:cs="Arial"/>
          <w:sz w:val="18"/>
          <w:szCs w:val="18"/>
        </w:rPr>
        <w:t>Huactzinco</w:t>
      </w:r>
      <w:proofErr w:type="spellEnd"/>
      <w:r>
        <w:rPr>
          <w:rFonts w:ascii="Arial" w:hAnsi="Arial" w:cs="Arial"/>
          <w:sz w:val="18"/>
          <w:szCs w:val="18"/>
        </w:rPr>
        <w:t xml:space="preserve">, </w:t>
      </w:r>
      <w:proofErr w:type="spellStart"/>
      <w:r>
        <w:rPr>
          <w:rFonts w:ascii="Arial" w:hAnsi="Arial" w:cs="Arial"/>
          <w:sz w:val="18"/>
          <w:szCs w:val="18"/>
        </w:rPr>
        <w:t>Totolac</w:t>
      </w:r>
      <w:proofErr w:type="spellEnd"/>
      <w:r>
        <w:rPr>
          <w:rFonts w:ascii="Arial" w:hAnsi="Arial" w:cs="Arial"/>
          <w:sz w:val="18"/>
          <w:szCs w:val="18"/>
        </w:rPr>
        <w:t xml:space="preserve">, </w:t>
      </w:r>
      <w:proofErr w:type="spellStart"/>
      <w:r>
        <w:rPr>
          <w:rFonts w:ascii="Arial" w:hAnsi="Arial" w:cs="Arial"/>
          <w:sz w:val="18"/>
          <w:szCs w:val="18"/>
        </w:rPr>
        <w:t>Tzompantepec</w:t>
      </w:r>
      <w:proofErr w:type="spellEnd"/>
      <w:r>
        <w:rPr>
          <w:rFonts w:ascii="Arial" w:hAnsi="Arial" w:cs="Arial"/>
          <w:sz w:val="18"/>
          <w:szCs w:val="18"/>
        </w:rPr>
        <w:t xml:space="preserve"> y Xaltocan, brindando atención a 428 personas. </w:t>
      </w:r>
    </w:p>
    <w:p w14:paraId="5CDE64E3" w14:textId="77777777" w:rsidR="00FF41A1" w:rsidRDefault="00FF41A1" w:rsidP="00FF41A1">
      <w:pPr>
        <w:pStyle w:val="NormalWeb"/>
        <w:spacing w:before="0" w:beforeAutospacing="0" w:after="0" w:afterAutospacing="0"/>
        <w:jc w:val="both"/>
        <w:rPr>
          <w:rFonts w:ascii="Arial" w:eastAsiaTheme="minorHAnsi" w:hAnsi="Arial" w:cs="Arial"/>
          <w:sz w:val="18"/>
          <w:szCs w:val="18"/>
          <w:lang w:eastAsia="en-US"/>
        </w:rPr>
      </w:pPr>
    </w:p>
    <w:p w14:paraId="5AD14C74" w14:textId="77777777" w:rsidR="00FF41A1" w:rsidRDefault="00FF41A1" w:rsidP="00FF41A1">
      <w:pPr>
        <w:pStyle w:val="NormalWeb"/>
        <w:spacing w:before="0" w:beforeAutospacing="0" w:after="0" w:afterAutospacing="0"/>
        <w:jc w:val="both"/>
        <w:rPr>
          <w:rFonts w:ascii="Arial" w:eastAsiaTheme="minorHAnsi" w:hAnsi="Arial" w:cs="Arial"/>
          <w:sz w:val="18"/>
          <w:szCs w:val="18"/>
          <w:lang w:eastAsia="en-US"/>
        </w:rPr>
      </w:pPr>
      <w:r>
        <w:rPr>
          <w:rFonts w:ascii="Arial" w:eastAsiaTheme="minorHAnsi" w:hAnsi="Arial" w:cs="Arial"/>
          <w:sz w:val="18"/>
          <w:szCs w:val="18"/>
          <w:lang w:eastAsia="en-US"/>
        </w:rPr>
        <w:t xml:space="preserve">La Gobernadora del Estado, encabezó la instalación y toma de protesta del Consejo Estatal de Mejora Regulatoria, el cual quedó integrado por autoridades estatales y representantes de cámaras empresariales, de organismos públicos, de instituciones educativas y municipios, del cual forma parte el </w:t>
      </w:r>
      <w:proofErr w:type="gramStart"/>
      <w:r>
        <w:rPr>
          <w:rFonts w:ascii="Arial" w:eastAsiaTheme="minorHAnsi" w:hAnsi="Arial" w:cs="Arial"/>
          <w:sz w:val="18"/>
          <w:szCs w:val="18"/>
          <w:lang w:eastAsia="en-US"/>
        </w:rPr>
        <w:t>Director General</w:t>
      </w:r>
      <w:proofErr w:type="gramEnd"/>
      <w:r>
        <w:rPr>
          <w:rFonts w:ascii="Arial" w:eastAsiaTheme="minorHAnsi" w:hAnsi="Arial" w:cs="Arial"/>
          <w:sz w:val="18"/>
          <w:szCs w:val="18"/>
          <w:lang w:eastAsia="en-US"/>
        </w:rPr>
        <w:t xml:space="preserve"> del “FOMTLAX”.</w:t>
      </w:r>
    </w:p>
    <w:p w14:paraId="2A6EDEE0" w14:textId="77777777" w:rsidR="00FF41A1" w:rsidRDefault="00FF41A1" w:rsidP="00FF41A1">
      <w:pPr>
        <w:pStyle w:val="NormalWeb"/>
        <w:spacing w:before="0" w:beforeAutospacing="0" w:after="0" w:afterAutospacing="0"/>
        <w:jc w:val="both"/>
        <w:rPr>
          <w:rFonts w:ascii="Arial" w:eastAsiaTheme="minorHAnsi" w:hAnsi="Arial" w:cs="Arial"/>
          <w:sz w:val="18"/>
          <w:szCs w:val="18"/>
          <w:lang w:eastAsia="en-US"/>
        </w:rPr>
      </w:pPr>
    </w:p>
    <w:p w14:paraId="7A68FDF4" w14:textId="77777777" w:rsidR="00FF41A1" w:rsidRDefault="00FF41A1" w:rsidP="00FF41A1">
      <w:pPr>
        <w:suppressAutoHyphens/>
        <w:autoSpaceDE w:val="0"/>
        <w:autoSpaceDN w:val="0"/>
        <w:adjustRightInd w:val="0"/>
        <w:spacing w:after="0" w:line="240" w:lineRule="auto"/>
        <w:jc w:val="both"/>
        <w:rPr>
          <w:rFonts w:ascii="Arial" w:hAnsi="Arial" w:cs="Arial"/>
          <w:sz w:val="18"/>
          <w:szCs w:val="18"/>
        </w:rPr>
      </w:pPr>
      <w:r>
        <w:rPr>
          <w:rFonts w:ascii="Arial" w:hAnsi="Arial" w:cs="Arial"/>
          <w:sz w:val="18"/>
          <w:szCs w:val="18"/>
        </w:rPr>
        <w:t>Por invitación del Instituto Estatal de la Mujer (IEM), se participó con un stand informativo en la “1ra. Feria de Fuentes de Financiamiento para Mujeres Emprendedoras del Estado de Tlaxcala”, impartiendo orientación a 199 mujeres interesadas en obtener un crédito.</w:t>
      </w:r>
    </w:p>
    <w:p w14:paraId="28E37DE4" w14:textId="77777777" w:rsidR="00FF41A1" w:rsidRDefault="00FF41A1" w:rsidP="00FF41A1">
      <w:pPr>
        <w:suppressAutoHyphens/>
        <w:autoSpaceDE w:val="0"/>
        <w:autoSpaceDN w:val="0"/>
        <w:adjustRightInd w:val="0"/>
        <w:spacing w:after="0" w:line="240" w:lineRule="auto"/>
        <w:jc w:val="both"/>
        <w:rPr>
          <w:rFonts w:ascii="Arial" w:hAnsi="Arial" w:cs="Arial"/>
          <w:sz w:val="18"/>
          <w:szCs w:val="18"/>
        </w:rPr>
      </w:pPr>
    </w:p>
    <w:p w14:paraId="3A615E3C" w14:textId="77777777" w:rsidR="00FF41A1" w:rsidRDefault="00FF41A1" w:rsidP="00FF41A1">
      <w:pPr>
        <w:suppressAutoHyphens/>
        <w:autoSpaceDE w:val="0"/>
        <w:autoSpaceDN w:val="0"/>
        <w:adjustRightInd w:val="0"/>
        <w:spacing w:after="0" w:line="240" w:lineRule="auto"/>
        <w:jc w:val="both"/>
        <w:rPr>
          <w:rFonts w:ascii="Arial" w:hAnsi="Arial" w:cs="Arial"/>
          <w:sz w:val="18"/>
          <w:szCs w:val="18"/>
        </w:rPr>
      </w:pPr>
      <w:r>
        <w:rPr>
          <w:rFonts w:ascii="Arial" w:hAnsi="Arial" w:cs="Arial"/>
          <w:sz w:val="18"/>
          <w:szCs w:val="18"/>
        </w:rPr>
        <w:t>En el marco de la semana de emprendedores organizada por el Centro de Educación Continua Unidad Tlaxcala del IPN (CECUTLAX), se participó en la conferencia “Programa de Financiamiento de Proyectos Productivos” que opera el “FOMTLAX”.</w:t>
      </w:r>
    </w:p>
    <w:p w14:paraId="4468E56F" w14:textId="77777777" w:rsidR="00FF41A1" w:rsidRDefault="00FF41A1" w:rsidP="00FF41A1">
      <w:pPr>
        <w:suppressAutoHyphens/>
        <w:autoSpaceDE w:val="0"/>
        <w:autoSpaceDN w:val="0"/>
        <w:adjustRightInd w:val="0"/>
        <w:spacing w:after="0" w:line="240" w:lineRule="auto"/>
        <w:jc w:val="both"/>
        <w:rPr>
          <w:rFonts w:ascii="Arial" w:hAnsi="Arial" w:cs="Arial"/>
          <w:sz w:val="18"/>
          <w:szCs w:val="18"/>
        </w:rPr>
      </w:pPr>
    </w:p>
    <w:p w14:paraId="0736B1AA" w14:textId="77777777" w:rsidR="00FF41A1" w:rsidRDefault="00FF41A1" w:rsidP="00FF41A1">
      <w:pPr>
        <w:autoSpaceDE w:val="0"/>
        <w:autoSpaceDN w:val="0"/>
        <w:adjustRightInd w:val="0"/>
        <w:spacing w:after="0" w:line="240" w:lineRule="auto"/>
        <w:jc w:val="both"/>
        <w:rPr>
          <w:rFonts w:ascii="Arial" w:hAnsi="Arial" w:cs="Arial"/>
          <w:sz w:val="18"/>
          <w:szCs w:val="18"/>
        </w:rPr>
      </w:pPr>
      <w:r>
        <w:rPr>
          <w:rFonts w:ascii="Arial" w:hAnsi="Arial" w:cs="Arial"/>
          <w:sz w:val="18"/>
          <w:szCs w:val="18"/>
        </w:rPr>
        <w:t>La IAIP impartió capacitación virtual referente al tema de Cumplimiento de las Obligaciones de Transparencia a personal de este Organismo.</w:t>
      </w:r>
    </w:p>
    <w:p w14:paraId="584A6E2B" w14:textId="77777777" w:rsidR="00FF41A1" w:rsidRDefault="00FF41A1" w:rsidP="00FF41A1">
      <w:pPr>
        <w:suppressAutoHyphens/>
        <w:autoSpaceDE w:val="0"/>
        <w:autoSpaceDN w:val="0"/>
        <w:adjustRightInd w:val="0"/>
        <w:spacing w:after="0" w:line="240" w:lineRule="auto"/>
        <w:jc w:val="both"/>
        <w:rPr>
          <w:rFonts w:ascii="Arial" w:hAnsi="Arial" w:cs="Arial"/>
          <w:sz w:val="18"/>
          <w:szCs w:val="18"/>
        </w:rPr>
      </w:pPr>
    </w:p>
    <w:p w14:paraId="3A71564A" w14:textId="77777777" w:rsidR="00FF41A1" w:rsidRDefault="00FF41A1" w:rsidP="00FF41A1">
      <w:pPr>
        <w:jc w:val="both"/>
        <w:rPr>
          <w:rFonts w:ascii="Arial" w:hAnsi="Arial" w:cs="Arial"/>
          <w:sz w:val="18"/>
          <w:szCs w:val="18"/>
        </w:rPr>
      </w:pPr>
      <w:r>
        <w:rPr>
          <w:rFonts w:ascii="Arial" w:hAnsi="Arial" w:cs="Arial"/>
          <w:sz w:val="18"/>
          <w:szCs w:val="18"/>
        </w:rPr>
        <w:t xml:space="preserve">Se llevaron a cabo durante el año tres sesiones ordinarias y una de instalación del Consejo de Administración del “FOMTLAX”, en el marco de la cual se presentaron los resultados del Programa Operativo Anual 2020, Programa Operativo Anual 2021, las metas alcanzadas en el periodo comprendido enero-agosto 2021, así como la presentación del C. Javier Rivera Bonilla, como </w:t>
      </w:r>
      <w:proofErr w:type="gramStart"/>
      <w:r>
        <w:rPr>
          <w:rFonts w:ascii="Arial" w:hAnsi="Arial" w:cs="Arial"/>
          <w:sz w:val="18"/>
          <w:szCs w:val="18"/>
        </w:rPr>
        <w:t>Director General</w:t>
      </w:r>
      <w:proofErr w:type="gramEnd"/>
      <w:r>
        <w:rPr>
          <w:rFonts w:ascii="Arial" w:hAnsi="Arial" w:cs="Arial"/>
          <w:sz w:val="18"/>
          <w:szCs w:val="18"/>
        </w:rPr>
        <w:t xml:space="preserve"> del “FOMTLAX” y de los nuevos integrantes de este Cuerpo Colegiado. </w:t>
      </w:r>
    </w:p>
    <w:p w14:paraId="29083997" w14:textId="77777777" w:rsidR="00FF41A1" w:rsidRDefault="00FF41A1" w:rsidP="00FF41A1">
      <w:pPr>
        <w:jc w:val="both"/>
        <w:rPr>
          <w:rFonts w:ascii="Arial" w:hAnsi="Arial" w:cs="Arial"/>
          <w:sz w:val="18"/>
          <w:szCs w:val="18"/>
        </w:rPr>
      </w:pPr>
      <w:r>
        <w:rPr>
          <w:rFonts w:ascii="Arial" w:hAnsi="Arial" w:cs="Arial"/>
          <w:sz w:val="18"/>
          <w:szCs w:val="18"/>
        </w:rPr>
        <w:t xml:space="preserve">Se efectuaron cuatro sesiones ordinarias y una de instalación del Comité de Control Interno y Desempeño Institucional de este Organismo, en el marco de las cuales se analizó el seguimiento de las actividades programadas para el ejercicio 2021; la revisión a la normatividad del “FOMTLAX”; la instalación de los Comités, ésta fue presidida por la Secretaria de la Función Pública, quien tomó la protesta a los Presidentes de los mismos y la presentación del programa de trabajo para el ejercicio 2022, entre otras, respectivamente. </w:t>
      </w:r>
    </w:p>
    <w:p w14:paraId="3B960E21" w14:textId="77777777" w:rsidR="00FF41A1" w:rsidRDefault="00FF41A1" w:rsidP="00FF41A1">
      <w:pPr>
        <w:suppressAutoHyphens/>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Se llevó a cabo la entrega de créditos para proyectos productivos, evento presidido por la Gobernadora del Estado, en beneficio de 579 familias tlaxcaltecas.  </w:t>
      </w:r>
    </w:p>
    <w:p w14:paraId="06A8CB47" w14:textId="77777777" w:rsidR="00FF41A1" w:rsidRDefault="00FF41A1" w:rsidP="00FF41A1">
      <w:pPr>
        <w:suppressAutoHyphens/>
        <w:autoSpaceDE w:val="0"/>
        <w:autoSpaceDN w:val="0"/>
        <w:adjustRightInd w:val="0"/>
        <w:spacing w:after="0" w:line="240" w:lineRule="auto"/>
        <w:jc w:val="both"/>
        <w:rPr>
          <w:rFonts w:ascii="Arial" w:hAnsi="Arial" w:cs="Arial"/>
          <w:sz w:val="18"/>
          <w:szCs w:val="18"/>
        </w:rPr>
      </w:pPr>
    </w:p>
    <w:p w14:paraId="148B1A9E" w14:textId="77777777" w:rsidR="00FF41A1" w:rsidRDefault="00FF41A1" w:rsidP="00FF41A1">
      <w:pPr>
        <w:shd w:val="clear" w:color="auto" w:fill="FFFFFF"/>
        <w:spacing w:after="90" w:line="240" w:lineRule="auto"/>
        <w:jc w:val="both"/>
        <w:rPr>
          <w:rFonts w:ascii="Arial" w:hAnsi="Arial" w:cs="Arial"/>
          <w:sz w:val="18"/>
          <w:szCs w:val="18"/>
        </w:rPr>
      </w:pPr>
      <w:r>
        <w:rPr>
          <w:rFonts w:ascii="Arial" w:hAnsi="Arial" w:cs="Arial"/>
          <w:sz w:val="18"/>
          <w:szCs w:val="18"/>
        </w:rPr>
        <w:t>Se firmaron los siguientes Convenios de Colaboración con el “FOMTLAX”:</w:t>
      </w:r>
    </w:p>
    <w:p w14:paraId="3788DF3D" w14:textId="77777777" w:rsidR="00FF41A1" w:rsidRDefault="00FF41A1" w:rsidP="00FF41A1">
      <w:pPr>
        <w:pStyle w:val="Prrafodelista"/>
        <w:numPr>
          <w:ilvl w:val="0"/>
          <w:numId w:val="23"/>
        </w:numPr>
        <w:shd w:val="clear" w:color="auto" w:fill="FFFFFF"/>
        <w:spacing w:after="90" w:line="240" w:lineRule="auto"/>
        <w:ind w:left="284"/>
        <w:jc w:val="both"/>
        <w:rPr>
          <w:rFonts w:ascii="Arial" w:hAnsi="Arial" w:cs="Arial"/>
          <w:sz w:val="18"/>
          <w:szCs w:val="18"/>
        </w:rPr>
      </w:pPr>
      <w:r>
        <w:rPr>
          <w:rFonts w:ascii="Arial" w:hAnsi="Arial" w:cs="Arial"/>
          <w:sz w:val="18"/>
          <w:szCs w:val="18"/>
        </w:rPr>
        <w:t>Instituto Tecnológico Superior de Tlaxco (ITS Tlaxco</w:t>
      </w:r>
      <w:proofErr w:type="gramStart"/>
      <w:r>
        <w:rPr>
          <w:rFonts w:ascii="Arial" w:hAnsi="Arial" w:cs="Arial"/>
          <w:sz w:val="18"/>
          <w:szCs w:val="18"/>
        </w:rPr>
        <w:t>).-</w:t>
      </w:r>
      <w:proofErr w:type="gramEnd"/>
      <w:r>
        <w:rPr>
          <w:rFonts w:ascii="Arial" w:hAnsi="Arial" w:cs="Arial"/>
          <w:sz w:val="18"/>
          <w:szCs w:val="18"/>
        </w:rPr>
        <w:t xml:space="preserve"> acciones conjuntas para beneficiar a la población estudiantil en la prestación del servicio social y estadías profesionales.</w:t>
      </w:r>
    </w:p>
    <w:p w14:paraId="18E8F7B6" w14:textId="77777777" w:rsidR="00FF41A1" w:rsidRDefault="00FF41A1" w:rsidP="00FF41A1">
      <w:pPr>
        <w:pStyle w:val="Prrafodelista"/>
        <w:numPr>
          <w:ilvl w:val="0"/>
          <w:numId w:val="23"/>
        </w:numPr>
        <w:suppressAutoHyphens/>
        <w:autoSpaceDE w:val="0"/>
        <w:autoSpaceDN w:val="0"/>
        <w:adjustRightInd w:val="0"/>
        <w:spacing w:after="0" w:line="240" w:lineRule="auto"/>
        <w:ind w:left="284"/>
        <w:jc w:val="both"/>
        <w:rPr>
          <w:rFonts w:ascii="Arial" w:hAnsi="Arial" w:cs="Arial"/>
          <w:sz w:val="18"/>
          <w:szCs w:val="18"/>
        </w:rPr>
      </w:pPr>
      <w:r>
        <w:rPr>
          <w:rFonts w:ascii="Arial" w:hAnsi="Arial" w:cs="Arial"/>
          <w:sz w:val="18"/>
          <w:szCs w:val="18"/>
        </w:rPr>
        <w:lastRenderedPageBreak/>
        <w:t xml:space="preserve">Ayuntamiento del Municipio de </w:t>
      </w:r>
      <w:proofErr w:type="gramStart"/>
      <w:r>
        <w:rPr>
          <w:rFonts w:ascii="Arial" w:hAnsi="Arial" w:cs="Arial"/>
          <w:sz w:val="18"/>
          <w:szCs w:val="18"/>
        </w:rPr>
        <w:t>Tlaxcala.-</w:t>
      </w:r>
      <w:proofErr w:type="gramEnd"/>
      <w:r>
        <w:rPr>
          <w:rFonts w:ascii="Arial" w:hAnsi="Arial" w:cs="Arial"/>
          <w:sz w:val="18"/>
          <w:szCs w:val="18"/>
        </w:rPr>
        <w:t xml:space="preserve"> apoyar a microempresarios del municipio con créditos para los diversos sectores económicos, especialmente para el comercio en general.</w:t>
      </w:r>
    </w:p>
    <w:p w14:paraId="3C73BEB5" w14:textId="77777777" w:rsidR="00FF41A1" w:rsidRDefault="00FF41A1" w:rsidP="00FF41A1">
      <w:pPr>
        <w:numPr>
          <w:ilvl w:val="0"/>
          <w:numId w:val="24"/>
        </w:numPr>
        <w:spacing w:after="0" w:line="256" w:lineRule="auto"/>
        <w:ind w:left="284" w:right="140"/>
        <w:jc w:val="both"/>
        <w:rPr>
          <w:rFonts w:ascii="Arial" w:hAnsi="Arial" w:cs="Arial"/>
          <w:sz w:val="18"/>
          <w:szCs w:val="18"/>
        </w:rPr>
      </w:pPr>
      <w:r>
        <w:rPr>
          <w:rFonts w:ascii="Arial" w:hAnsi="Arial" w:cs="Arial"/>
          <w:sz w:val="18"/>
          <w:szCs w:val="18"/>
        </w:rPr>
        <w:t>Secretaría de Desarrollo Económico (SEDECO</w:t>
      </w:r>
      <w:proofErr w:type="gramStart"/>
      <w:r>
        <w:rPr>
          <w:rFonts w:ascii="Arial" w:hAnsi="Arial" w:cs="Arial"/>
          <w:sz w:val="18"/>
          <w:szCs w:val="18"/>
        </w:rPr>
        <w:t>).-</w:t>
      </w:r>
      <w:proofErr w:type="gramEnd"/>
      <w:r>
        <w:rPr>
          <w:rFonts w:ascii="Arial" w:hAnsi="Arial" w:cs="Arial"/>
          <w:sz w:val="18"/>
          <w:szCs w:val="18"/>
        </w:rPr>
        <w:t xml:space="preserve"> un Convenio para para otorgar créditos a microempresarios y otro para el uso de la firma electrónica (</w:t>
      </w:r>
      <w:proofErr w:type="spellStart"/>
      <w:r>
        <w:rPr>
          <w:rFonts w:ascii="Arial" w:hAnsi="Arial" w:cs="Arial"/>
          <w:sz w:val="18"/>
          <w:szCs w:val="18"/>
        </w:rPr>
        <w:t>e.Firma</w:t>
      </w:r>
      <w:proofErr w:type="spellEnd"/>
      <w:r>
        <w:rPr>
          <w:rFonts w:ascii="Arial" w:hAnsi="Arial" w:cs="Arial"/>
          <w:sz w:val="18"/>
          <w:szCs w:val="18"/>
        </w:rPr>
        <w:t xml:space="preserve">), a </w:t>
      </w:r>
      <w:proofErr w:type="spellStart"/>
      <w:r>
        <w:rPr>
          <w:rFonts w:ascii="Arial" w:hAnsi="Arial" w:cs="Arial"/>
          <w:sz w:val="18"/>
          <w:szCs w:val="18"/>
        </w:rPr>
        <w:t>fín</w:t>
      </w:r>
      <w:proofErr w:type="spellEnd"/>
      <w:r>
        <w:rPr>
          <w:rFonts w:ascii="Arial" w:hAnsi="Arial" w:cs="Arial"/>
          <w:sz w:val="18"/>
          <w:szCs w:val="18"/>
        </w:rPr>
        <w:t xml:space="preserve"> de hacer más ágiles y transparentes, los trámites administrativos que se llevan a cabo en el Organismo.</w:t>
      </w:r>
    </w:p>
    <w:p w14:paraId="3F680B6F" w14:textId="77777777" w:rsidR="00FF41A1" w:rsidRDefault="00FF41A1" w:rsidP="00FF41A1">
      <w:pPr>
        <w:numPr>
          <w:ilvl w:val="0"/>
          <w:numId w:val="24"/>
        </w:numPr>
        <w:spacing w:after="0" w:line="256" w:lineRule="auto"/>
        <w:ind w:left="284" w:right="140"/>
        <w:jc w:val="both"/>
        <w:rPr>
          <w:rFonts w:ascii="Arial" w:hAnsi="Arial" w:cs="Arial"/>
          <w:sz w:val="18"/>
          <w:szCs w:val="18"/>
        </w:rPr>
      </w:pPr>
      <w:r>
        <w:rPr>
          <w:rFonts w:ascii="Arial" w:hAnsi="Arial" w:cs="Arial"/>
          <w:sz w:val="18"/>
          <w:szCs w:val="18"/>
        </w:rPr>
        <w:t>Coordinación de Servicio Social de Instituciones de Educación Superior (COSSIES</w:t>
      </w:r>
      <w:proofErr w:type="gramStart"/>
      <w:r>
        <w:rPr>
          <w:rFonts w:ascii="Arial" w:hAnsi="Arial" w:cs="Arial"/>
          <w:sz w:val="18"/>
          <w:szCs w:val="18"/>
        </w:rPr>
        <w:t>).-</w:t>
      </w:r>
      <w:proofErr w:type="gramEnd"/>
      <w:r>
        <w:rPr>
          <w:rFonts w:ascii="Arial" w:hAnsi="Arial" w:cs="Arial"/>
          <w:sz w:val="18"/>
          <w:szCs w:val="18"/>
        </w:rPr>
        <w:t xml:space="preserve"> acciones conjuntas para beneficiar a la población estudiantil, brindándoles la oportunidad de que, a través de su servicio social, puedan aplicar los conocimientos adquiridos.</w:t>
      </w:r>
    </w:p>
    <w:p w14:paraId="158B6776" w14:textId="77777777" w:rsidR="00FF41A1" w:rsidRDefault="00FF41A1" w:rsidP="00FF41A1">
      <w:pPr>
        <w:numPr>
          <w:ilvl w:val="0"/>
          <w:numId w:val="24"/>
        </w:numPr>
        <w:spacing w:after="0" w:line="256" w:lineRule="auto"/>
        <w:ind w:left="284" w:right="140"/>
        <w:jc w:val="both"/>
        <w:rPr>
          <w:rFonts w:ascii="Arial" w:hAnsi="Arial" w:cs="Arial"/>
          <w:sz w:val="18"/>
          <w:szCs w:val="18"/>
        </w:rPr>
      </w:pPr>
      <w:r>
        <w:rPr>
          <w:rFonts w:ascii="Arial" w:hAnsi="Arial" w:cs="Arial"/>
          <w:sz w:val="18"/>
          <w:szCs w:val="18"/>
        </w:rPr>
        <w:t>Universidad Politécnica de Tlaxcala (</w:t>
      </w:r>
      <w:proofErr w:type="spellStart"/>
      <w:proofErr w:type="gramStart"/>
      <w:r>
        <w:rPr>
          <w:rFonts w:ascii="Arial" w:hAnsi="Arial" w:cs="Arial"/>
          <w:sz w:val="18"/>
          <w:szCs w:val="18"/>
        </w:rPr>
        <w:t>UPTx</w:t>
      </w:r>
      <w:proofErr w:type="spellEnd"/>
      <w:r>
        <w:rPr>
          <w:rFonts w:ascii="Arial" w:hAnsi="Arial" w:cs="Arial"/>
          <w:sz w:val="18"/>
          <w:szCs w:val="18"/>
        </w:rPr>
        <w:t>.-</w:t>
      </w:r>
      <w:proofErr w:type="gramEnd"/>
      <w:r>
        <w:rPr>
          <w:rFonts w:ascii="Arial" w:hAnsi="Arial" w:cs="Arial"/>
          <w:sz w:val="18"/>
          <w:szCs w:val="18"/>
        </w:rPr>
        <w:t xml:space="preserve"> beneficiar a la población estudiantil, brindándoles la oportunidad de que a través, de sus residencias o estadías profesionales, puedan aplicar sus conocimientos; o bien, si así lo requieren, acceder a un crédito para emprender un negocio, o una actividad productiva, que les permita autoemplearse.</w:t>
      </w:r>
    </w:p>
    <w:p w14:paraId="200CCDF2" w14:textId="77777777" w:rsidR="00FF41A1" w:rsidRDefault="00FF41A1" w:rsidP="00FF41A1">
      <w:pPr>
        <w:numPr>
          <w:ilvl w:val="0"/>
          <w:numId w:val="24"/>
        </w:numPr>
        <w:spacing w:after="0" w:line="256" w:lineRule="auto"/>
        <w:ind w:left="284" w:right="140"/>
        <w:jc w:val="both"/>
        <w:rPr>
          <w:rFonts w:ascii="Arial" w:hAnsi="Arial" w:cs="Arial"/>
          <w:sz w:val="18"/>
          <w:szCs w:val="18"/>
        </w:rPr>
      </w:pPr>
      <w:r>
        <w:rPr>
          <w:rFonts w:ascii="Arial" w:hAnsi="Arial" w:cs="Arial"/>
          <w:sz w:val="18"/>
          <w:szCs w:val="18"/>
        </w:rPr>
        <w:t xml:space="preserve">Comisión </w:t>
      </w:r>
      <w:bookmarkStart w:id="0" w:name="_Hlk85030858"/>
      <w:r>
        <w:rPr>
          <w:rFonts w:ascii="Arial" w:hAnsi="Arial" w:cs="Arial"/>
          <w:sz w:val="18"/>
          <w:szCs w:val="18"/>
        </w:rPr>
        <w:t>Ejecutiva de Atención a Víctimas y Ofendidos (CEAVO</w:t>
      </w:r>
      <w:proofErr w:type="gramStart"/>
      <w:r>
        <w:rPr>
          <w:rFonts w:ascii="Arial" w:hAnsi="Arial" w:cs="Arial"/>
          <w:sz w:val="18"/>
          <w:szCs w:val="18"/>
        </w:rPr>
        <w:t>).-</w:t>
      </w:r>
      <w:proofErr w:type="gramEnd"/>
      <w:r>
        <w:rPr>
          <w:rFonts w:ascii="Arial" w:hAnsi="Arial" w:cs="Arial"/>
          <w:sz w:val="18"/>
          <w:szCs w:val="18"/>
        </w:rPr>
        <w:t xml:space="preserve"> </w:t>
      </w:r>
      <w:bookmarkEnd w:id="0"/>
      <w:r>
        <w:rPr>
          <w:rFonts w:ascii="Arial" w:hAnsi="Arial" w:cs="Arial"/>
          <w:sz w:val="18"/>
          <w:szCs w:val="18"/>
        </w:rPr>
        <w:t>para que este sector vulnerable de la población, pueda ser beneficiado con un crédito, que les permita generar ingresos en sus unidades productivas, para contribuir al sustento familiar.</w:t>
      </w:r>
    </w:p>
    <w:p w14:paraId="2645799C" w14:textId="77777777" w:rsidR="00FF41A1" w:rsidRDefault="00FF41A1" w:rsidP="00FF41A1">
      <w:pPr>
        <w:numPr>
          <w:ilvl w:val="0"/>
          <w:numId w:val="24"/>
        </w:numPr>
        <w:spacing w:after="160" w:line="256" w:lineRule="auto"/>
        <w:ind w:left="284" w:right="140"/>
        <w:jc w:val="both"/>
        <w:rPr>
          <w:rFonts w:ascii="Arial" w:hAnsi="Arial" w:cs="Arial"/>
          <w:sz w:val="18"/>
          <w:szCs w:val="18"/>
        </w:rPr>
      </w:pPr>
      <w:r>
        <w:rPr>
          <w:rFonts w:ascii="Arial" w:hAnsi="Arial" w:cs="Arial"/>
          <w:sz w:val="18"/>
          <w:szCs w:val="18"/>
        </w:rPr>
        <w:t>Dirección de Atención a Migrantes (DAM</w:t>
      </w:r>
      <w:proofErr w:type="gramStart"/>
      <w:r>
        <w:rPr>
          <w:rFonts w:ascii="Arial" w:hAnsi="Arial" w:cs="Arial"/>
          <w:sz w:val="18"/>
          <w:szCs w:val="18"/>
        </w:rPr>
        <w:t>).-</w:t>
      </w:r>
      <w:proofErr w:type="gramEnd"/>
      <w:r>
        <w:rPr>
          <w:rFonts w:ascii="Arial" w:hAnsi="Arial" w:cs="Arial"/>
          <w:sz w:val="18"/>
          <w:szCs w:val="18"/>
        </w:rPr>
        <w:t xml:space="preserve">  acciones conjuntas en favor de nuestros conciudadanos migrantes de retorno, para propiciar su integración al entorno laboral, a través del otorgamiento de créditos que destinarán en actividades productivas, aprovechando la experiencia que han adquirido en el país vecino, que les permita autoemplearse y generar ingresos para sus familias.</w:t>
      </w:r>
    </w:p>
    <w:p w14:paraId="52570E18" w14:textId="77777777" w:rsidR="00FF41A1" w:rsidRDefault="00FF41A1" w:rsidP="00FF41A1">
      <w:pPr>
        <w:autoSpaceDE w:val="0"/>
        <w:autoSpaceDN w:val="0"/>
        <w:adjustRightInd w:val="0"/>
        <w:spacing w:after="0" w:line="240" w:lineRule="auto"/>
        <w:jc w:val="both"/>
        <w:rPr>
          <w:rFonts w:ascii="Arial" w:hAnsi="Arial" w:cs="Arial"/>
          <w:sz w:val="18"/>
          <w:szCs w:val="18"/>
        </w:rPr>
      </w:pPr>
      <w:r>
        <w:rPr>
          <w:rFonts w:ascii="Arial" w:hAnsi="Arial" w:cs="Arial"/>
          <w:sz w:val="18"/>
          <w:szCs w:val="18"/>
        </w:rPr>
        <w:t>Por lo que refiere a la recuperación de la cartera, se continuó con las diversas acciones de tratamientos de cartera a solicitud de acreditados, visitas domiciliarias para entrega de requerimientos de pago, llamadas telefónicas y se enviaron mensajes a celulares de recordatorio de pago. Del mes de enero al mes de diciembre se logró un monto de recuperación superior a los 36.2 MDP.</w:t>
      </w:r>
    </w:p>
    <w:p w14:paraId="6C40AD13" w14:textId="77777777" w:rsidR="005F103E" w:rsidRDefault="005F103E" w:rsidP="005F103E">
      <w:pPr>
        <w:pStyle w:val="Prrafodelista"/>
        <w:shd w:val="clear" w:color="auto" w:fill="FFFFFF"/>
        <w:suppressAutoHyphens/>
        <w:spacing w:after="90" w:line="240" w:lineRule="auto"/>
        <w:ind w:left="0"/>
        <w:jc w:val="both"/>
        <w:rPr>
          <w:rFonts w:ascii="Arial" w:hAnsi="Arial" w:cs="Arial"/>
          <w:sz w:val="18"/>
          <w:szCs w:val="18"/>
        </w:rPr>
      </w:pPr>
    </w:p>
    <w:p w14:paraId="5B115403" w14:textId="6D4DF6E9" w:rsidR="00F474E9" w:rsidRDefault="00ED65D7" w:rsidP="00F474E9">
      <w:pPr>
        <w:jc w:val="both"/>
        <w:rPr>
          <w:rFonts w:ascii="Arial" w:hAnsi="Arial" w:cs="Arial"/>
          <w:sz w:val="18"/>
          <w:szCs w:val="18"/>
        </w:rPr>
      </w:pPr>
      <w:r w:rsidRPr="00B372A2">
        <w:rPr>
          <w:rFonts w:ascii="Arial" w:eastAsia="Calibri" w:hAnsi="Arial" w:cs="Arial"/>
          <w:sz w:val="18"/>
          <w:szCs w:val="18"/>
        </w:rPr>
        <w:t xml:space="preserve">En cumplimiento a la </w:t>
      </w:r>
      <w:r w:rsidRPr="00B372A2">
        <w:rPr>
          <w:rFonts w:ascii="Arial" w:eastAsia="Calibri" w:hAnsi="Arial" w:cs="Arial"/>
          <w:b/>
          <w:sz w:val="18"/>
          <w:szCs w:val="18"/>
        </w:rPr>
        <w:t>Ley General de Contabilidad Gubernamental</w:t>
      </w:r>
      <w:r w:rsidR="000454EA">
        <w:rPr>
          <w:rFonts w:ascii="Arial" w:eastAsia="Calibri" w:hAnsi="Arial" w:cs="Arial"/>
          <w:b/>
          <w:sz w:val="18"/>
          <w:szCs w:val="18"/>
        </w:rPr>
        <w:t>,</w:t>
      </w:r>
      <w:r w:rsidRPr="00B372A2">
        <w:rPr>
          <w:rFonts w:ascii="Arial" w:eastAsia="Calibri" w:hAnsi="Arial" w:cs="Arial"/>
          <w:sz w:val="18"/>
          <w:szCs w:val="18"/>
        </w:rPr>
        <w:t xml:space="preserve"> artículo 52 </w:t>
      </w:r>
      <w:r w:rsidR="000454EA">
        <w:rPr>
          <w:rFonts w:ascii="Arial" w:eastAsia="Calibri" w:hAnsi="Arial" w:cs="Arial"/>
          <w:sz w:val="18"/>
          <w:szCs w:val="18"/>
        </w:rPr>
        <w:t xml:space="preserve">que </w:t>
      </w:r>
      <w:r w:rsidRPr="00B372A2">
        <w:rPr>
          <w:rFonts w:ascii="Arial" w:eastAsia="Calibri" w:hAnsi="Arial" w:cs="Arial"/>
          <w:sz w:val="18"/>
          <w:szCs w:val="18"/>
        </w:rPr>
        <w:t>establece “</w:t>
      </w:r>
      <w:r w:rsidR="000454EA">
        <w:rPr>
          <w:rFonts w:ascii="Arial" w:eastAsia="Calibri" w:hAnsi="Arial" w:cs="Arial"/>
          <w:sz w:val="18"/>
          <w:szCs w:val="18"/>
        </w:rPr>
        <w:t>L</w:t>
      </w:r>
      <w:r w:rsidRPr="00B372A2">
        <w:rPr>
          <w:rFonts w:ascii="Arial" w:eastAsia="Calibri" w:hAnsi="Arial" w:cs="Arial"/>
          <w:sz w:val="18"/>
          <w:szCs w:val="18"/>
        </w:rPr>
        <w:t>os estados financieros y demás información presupuestaria, programática y contable que emanen de los registros de los entes públicos, serán la base para la emisión de informes periódicos y para la formulación de la cuenta pública anual</w:t>
      </w:r>
      <w:r w:rsidR="00B372A2" w:rsidRPr="00B372A2">
        <w:rPr>
          <w:rFonts w:ascii="Arial" w:eastAsia="Calibri" w:hAnsi="Arial" w:cs="Arial"/>
          <w:sz w:val="18"/>
          <w:szCs w:val="18"/>
        </w:rPr>
        <w:t xml:space="preserve">. </w:t>
      </w:r>
      <w:r w:rsidR="00B372A2" w:rsidRPr="00B372A2">
        <w:rPr>
          <w:rFonts w:ascii="Arial" w:hAnsi="Arial" w:cs="Arial"/>
          <w:sz w:val="18"/>
          <w:szCs w:val="18"/>
        </w:rPr>
        <w:t>Los entes públicos deberán elaborar los estados de conformidad con las disposiciones normativas y técnicas que emanen de esta Ley o que emita el consejo</w:t>
      </w:r>
      <w:r w:rsidR="00B372A2">
        <w:rPr>
          <w:rFonts w:ascii="Arial" w:hAnsi="Arial" w:cs="Arial"/>
          <w:sz w:val="18"/>
          <w:szCs w:val="18"/>
        </w:rPr>
        <w:t>…</w:t>
      </w:r>
      <w:r w:rsidRPr="00B372A2">
        <w:rPr>
          <w:rFonts w:ascii="Arial" w:eastAsia="Calibri" w:hAnsi="Arial" w:cs="Arial"/>
          <w:sz w:val="18"/>
          <w:szCs w:val="18"/>
        </w:rPr>
        <w:t xml:space="preserve">”, </w:t>
      </w:r>
      <w:r w:rsidR="00F474E9" w:rsidRPr="00B372A2">
        <w:rPr>
          <w:rFonts w:ascii="Arial" w:eastAsia="Calibri" w:hAnsi="Arial" w:cs="Arial"/>
          <w:sz w:val="18"/>
          <w:szCs w:val="18"/>
        </w:rPr>
        <w:t xml:space="preserve"> al </w:t>
      </w:r>
      <w:r w:rsidRPr="00B372A2">
        <w:rPr>
          <w:rFonts w:ascii="Arial" w:hAnsi="Arial" w:cs="Arial"/>
          <w:b/>
          <w:sz w:val="18"/>
          <w:szCs w:val="18"/>
        </w:rPr>
        <w:t xml:space="preserve">Acuerdo </w:t>
      </w:r>
      <w:r w:rsidR="00F474E9" w:rsidRPr="00B372A2">
        <w:rPr>
          <w:rFonts w:ascii="Arial" w:hAnsi="Arial" w:cs="Arial"/>
          <w:b/>
          <w:sz w:val="18"/>
          <w:szCs w:val="18"/>
        </w:rPr>
        <w:t>emitido por el Consejo Nacional de Armonización Contable</w:t>
      </w:r>
      <w:r w:rsidR="00F474E9" w:rsidRPr="00B372A2">
        <w:rPr>
          <w:rFonts w:ascii="Arial" w:hAnsi="Arial" w:cs="Arial"/>
          <w:sz w:val="18"/>
          <w:szCs w:val="18"/>
        </w:rPr>
        <w:t xml:space="preserve"> (CONAC) con fecha 30 de diciembre de 2013,  a través del cual</w:t>
      </w:r>
      <w:r w:rsidRPr="00B372A2">
        <w:rPr>
          <w:rFonts w:ascii="Arial" w:hAnsi="Arial" w:cs="Arial"/>
          <w:sz w:val="18"/>
          <w:szCs w:val="18"/>
        </w:rPr>
        <w:t xml:space="preserve"> se armoniza la estructura de las cuentas públicas, cuyo objeto es armonizar la estructura de la Cuenta Pública del Gobierno Federal, de las Entidades Federativas, de los Ayuntamientos de los Municipios y de los órganos político-administrativos de las demarcaciones territoriales por conducto del Gobierno del Distrito Federal, a que se refieren los artículos 53 y 55 de la Ley General de Contabilidad Gubernamental (LGCG)</w:t>
      </w:r>
      <w:r w:rsidR="00F474E9" w:rsidRPr="00B372A2">
        <w:rPr>
          <w:rFonts w:ascii="Arial" w:hAnsi="Arial" w:cs="Arial"/>
          <w:sz w:val="18"/>
          <w:szCs w:val="18"/>
        </w:rPr>
        <w:t xml:space="preserve">, </w:t>
      </w:r>
      <w:r w:rsidR="009E16FC" w:rsidRPr="00B372A2">
        <w:rPr>
          <w:rFonts w:ascii="Arial" w:hAnsi="Arial" w:cs="Arial"/>
          <w:sz w:val="18"/>
          <w:szCs w:val="18"/>
        </w:rPr>
        <w:t xml:space="preserve">y a la </w:t>
      </w:r>
      <w:r w:rsidR="009E16FC" w:rsidRPr="00B372A2">
        <w:rPr>
          <w:rFonts w:ascii="Arial" w:hAnsi="Arial" w:cs="Arial"/>
          <w:b/>
          <w:sz w:val="18"/>
          <w:szCs w:val="18"/>
        </w:rPr>
        <w:t>Ley de Disciplina Financiera</w:t>
      </w:r>
      <w:r w:rsidR="000454EA">
        <w:rPr>
          <w:rFonts w:ascii="Arial" w:hAnsi="Arial" w:cs="Arial"/>
          <w:b/>
          <w:sz w:val="18"/>
          <w:szCs w:val="18"/>
        </w:rPr>
        <w:t>,</w:t>
      </w:r>
      <w:r w:rsidR="009E16FC" w:rsidRPr="00B372A2">
        <w:rPr>
          <w:rFonts w:ascii="Arial" w:hAnsi="Arial" w:cs="Arial"/>
          <w:sz w:val="18"/>
          <w:szCs w:val="18"/>
        </w:rPr>
        <w:t xml:space="preserve"> artículo 58 </w:t>
      </w:r>
      <w:r w:rsidR="000454EA">
        <w:rPr>
          <w:rFonts w:ascii="Arial" w:hAnsi="Arial" w:cs="Arial"/>
          <w:sz w:val="18"/>
          <w:szCs w:val="18"/>
        </w:rPr>
        <w:t xml:space="preserve">que </w:t>
      </w:r>
      <w:r w:rsidR="009E16FC" w:rsidRPr="00B372A2">
        <w:rPr>
          <w:rFonts w:ascii="Arial" w:hAnsi="Arial" w:cs="Arial"/>
          <w:sz w:val="18"/>
          <w:szCs w:val="18"/>
        </w:rPr>
        <w:t>establece “Los Entes Públicos se sujetarán a la Ley General de Contabilidad Gubernamental para presentar la información financiera en los informes periódicos correspondientes y en su respectiva Cuenta Pública…” s</w:t>
      </w:r>
      <w:r w:rsidR="00F474E9" w:rsidRPr="00B372A2">
        <w:rPr>
          <w:rFonts w:ascii="Arial" w:hAnsi="Arial" w:cs="Arial"/>
          <w:sz w:val="18"/>
          <w:szCs w:val="18"/>
        </w:rPr>
        <w:t xml:space="preserve">e </w:t>
      </w:r>
      <w:r w:rsidR="000454EA">
        <w:rPr>
          <w:rFonts w:ascii="Arial" w:hAnsi="Arial" w:cs="Arial"/>
          <w:sz w:val="18"/>
          <w:szCs w:val="18"/>
        </w:rPr>
        <w:t>presenta</w:t>
      </w:r>
      <w:r w:rsidR="00F474E9" w:rsidRPr="00B372A2">
        <w:rPr>
          <w:rFonts w:ascii="Arial" w:hAnsi="Arial" w:cs="Arial"/>
          <w:sz w:val="18"/>
          <w:szCs w:val="18"/>
        </w:rPr>
        <w:t xml:space="preserve"> la </w:t>
      </w:r>
      <w:r w:rsidR="00F474E9" w:rsidRPr="00B372A2">
        <w:rPr>
          <w:rFonts w:ascii="Arial" w:hAnsi="Arial" w:cs="Arial"/>
          <w:b/>
          <w:sz w:val="18"/>
          <w:szCs w:val="18"/>
        </w:rPr>
        <w:t>Cuenta Pública</w:t>
      </w:r>
      <w:r w:rsidR="00F474E9" w:rsidRPr="00B372A2">
        <w:rPr>
          <w:rFonts w:ascii="Arial" w:hAnsi="Arial" w:cs="Arial"/>
          <w:sz w:val="18"/>
          <w:szCs w:val="18"/>
        </w:rPr>
        <w:t xml:space="preserve"> </w:t>
      </w:r>
      <w:r w:rsidR="000454EA">
        <w:rPr>
          <w:rFonts w:ascii="Arial" w:hAnsi="Arial" w:cs="Arial"/>
          <w:sz w:val="18"/>
          <w:szCs w:val="18"/>
        </w:rPr>
        <w:t xml:space="preserve">de este </w:t>
      </w:r>
      <w:r w:rsidR="000454EA" w:rsidRPr="000454EA">
        <w:rPr>
          <w:rFonts w:ascii="Arial" w:hAnsi="Arial" w:cs="Arial"/>
          <w:b/>
          <w:sz w:val="18"/>
          <w:szCs w:val="18"/>
        </w:rPr>
        <w:t>Fondo</w:t>
      </w:r>
      <w:r w:rsidR="000454EA">
        <w:rPr>
          <w:rFonts w:ascii="Arial" w:hAnsi="Arial" w:cs="Arial"/>
          <w:sz w:val="18"/>
          <w:szCs w:val="18"/>
        </w:rPr>
        <w:t xml:space="preserve">, </w:t>
      </w:r>
      <w:r w:rsidR="00F474E9" w:rsidRPr="00B372A2">
        <w:rPr>
          <w:rFonts w:ascii="Arial" w:hAnsi="Arial" w:cs="Arial"/>
          <w:sz w:val="18"/>
          <w:szCs w:val="18"/>
        </w:rPr>
        <w:t>conforme a lo</w:t>
      </w:r>
      <w:r w:rsidR="000454EA">
        <w:rPr>
          <w:rFonts w:ascii="Arial" w:hAnsi="Arial" w:cs="Arial"/>
          <w:sz w:val="18"/>
          <w:szCs w:val="18"/>
        </w:rPr>
        <w:t>s</w:t>
      </w:r>
      <w:r w:rsidR="00F474E9" w:rsidRPr="00B372A2">
        <w:rPr>
          <w:rFonts w:ascii="Arial" w:hAnsi="Arial" w:cs="Arial"/>
          <w:sz w:val="18"/>
          <w:szCs w:val="18"/>
        </w:rPr>
        <w:t xml:space="preserve"> siguiente</w:t>
      </w:r>
      <w:r w:rsidR="000454EA">
        <w:rPr>
          <w:rFonts w:ascii="Arial" w:hAnsi="Arial" w:cs="Arial"/>
          <w:sz w:val="18"/>
          <w:szCs w:val="18"/>
        </w:rPr>
        <w:t>s apartados</w:t>
      </w:r>
      <w:r w:rsidR="00F474E9" w:rsidRPr="00B372A2">
        <w:rPr>
          <w:rFonts w:ascii="Arial" w:hAnsi="Arial" w:cs="Arial"/>
          <w:sz w:val="18"/>
          <w:szCs w:val="18"/>
        </w:rPr>
        <w:t>:</w:t>
      </w:r>
    </w:p>
    <w:p w14:paraId="2DC39A88" w14:textId="70E7BDE6" w:rsidR="002D4C8A" w:rsidRDefault="002D4C8A" w:rsidP="002D4C8A">
      <w:pPr>
        <w:pStyle w:val="Prrafodelista"/>
        <w:spacing w:line="360" w:lineRule="auto"/>
        <w:jc w:val="both"/>
        <w:rPr>
          <w:rFonts w:ascii="Arial" w:hAnsi="Arial" w:cs="Arial"/>
          <w:b/>
          <w:sz w:val="18"/>
          <w:szCs w:val="18"/>
        </w:rPr>
      </w:pPr>
    </w:p>
    <w:p w14:paraId="42D0DFEA" w14:textId="33DC8413" w:rsidR="00AD791F" w:rsidRPr="00B372A2" w:rsidRDefault="00AD791F" w:rsidP="00AD791F">
      <w:pPr>
        <w:pStyle w:val="Prrafodelista"/>
        <w:numPr>
          <w:ilvl w:val="0"/>
          <w:numId w:val="5"/>
        </w:numPr>
        <w:spacing w:line="360" w:lineRule="auto"/>
        <w:jc w:val="both"/>
        <w:rPr>
          <w:rFonts w:ascii="Arial" w:hAnsi="Arial" w:cs="Arial"/>
          <w:b/>
          <w:sz w:val="18"/>
          <w:szCs w:val="18"/>
        </w:rPr>
      </w:pPr>
      <w:r w:rsidRPr="00B372A2">
        <w:rPr>
          <w:rFonts w:ascii="Arial" w:hAnsi="Arial" w:cs="Arial"/>
          <w:b/>
          <w:sz w:val="18"/>
          <w:szCs w:val="18"/>
        </w:rPr>
        <w:t>Introducción</w:t>
      </w:r>
    </w:p>
    <w:p w14:paraId="622AF244" w14:textId="63477179" w:rsidR="00AD791F" w:rsidRDefault="00AD791F" w:rsidP="00AD791F">
      <w:pPr>
        <w:pStyle w:val="Prrafodelista"/>
        <w:spacing w:line="360" w:lineRule="auto"/>
        <w:jc w:val="both"/>
        <w:rPr>
          <w:rFonts w:ascii="Arial" w:hAnsi="Arial" w:cs="Arial"/>
          <w:b/>
          <w:sz w:val="18"/>
          <w:szCs w:val="18"/>
        </w:rPr>
      </w:pPr>
    </w:p>
    <w:p w14:paraId="249D07E0" w14:textId="77777777" w:rsidR="00AD791F" w:rsidRPr="00B372A2" w:rsidRDefault="00AD791F" w:rsidP="00AD791F">
      <w:pPr>
        <w:pStyle w:val="Prrafodelista"/>
        <w:numPr>
          <w:ilvl w:val="0"/>
          <w:numId w:val="5"/>
        </w:numPr>
        <w:spacing w:line="360" w:lineRule="auto"/>
        <w:jc w:val="both"/>
        <w:rPr>
          <w:rFonts w:ascii="Arial" w:hAnsi="Arial" w:cs="Arial"/>
          <w:b/>
          <w:sz w:val="18"/>
          <w:szCs w:val="18"/>
        </w:rPr>
      </w:pPr>
      <w:r w:rsidRPr="00B372A2">
        <w:rPr>
          <w:rFonts w:ascii="Arial" w:hAnsi="Arial" w:cs="Arial"/>
          <w:b/>
          <w:sz w:val="18"/>
          <w:szCs w:val="18"/>
        </w:rPr>
        <w:t>Información Contable</w:t>
      </w:r>
    </w:p>
    <w:p w14:paraId="3743E8CD" w14:textId="77777777" w:rsidR="00AD791F" w:rsidRPr="00B372A2" w:rsidRDefault="00AD791F" w:rsidP="00AD791F">
      <w:pPr>
        <w:pStyle w:val="Prrafodelista"/>
        <w:numPr>
          <w:ilvl w:val="0"/>
          <w:numId w:val="6"/>
        </w:numPr>
        <w:spacing w:line="360" w:lineRule="auto"/>
        <w:jc w:val="both"/>
        <w:rPr>
          <w:rFonts w:ascii="Arial" w:hAnsi="Arial" w:cs="Arial"/>
          <w:b/>
          <w:sz w:val="18"/>
          <w:szCs w:val="18"/>
        </w:rPr>
      </w:pPr>
      <w:r w:rsidRPr="00B372A2">
        <w:rPr>
          <w:rFonts w:ascii="Arial" w:hAnsi="Arial" w:cs="Arial"/>
          <w:sz w:val="18"/>
          <w:szCs w:val="18"/>
        </w:rPr>
        <w:t>Estado de Actividades</w:t>
      </w:r>
    </w:p>
    <w:p w14:paraId="4346E4CD" w14:textId="77777777" w:rsidR="00AD791F" w:rsidRPr="00B372A2" w:rsidRDefault="00AD791F" w:rsidP="00AD791F">
      <w:pPr>
        <w:pStyle w:val="Prrafodelista"/>
        <w:numPr>
          <w:ilvl w:val="0"/>
          <w:numId w:val="6"/>
        </w:numPr>
        <w:spacing w:line="360" w:lineRule="auto"/>
        <w:jc w:val="both"/>
        <w:rPr>
          <w:rFonts w:ascii="Arial" w:hAnsi="Arial" w:cs="Arial"/>
          <w:b/>
          <w:sz w:val="18"/>
          <w:szCs w:val="18"/>
        </w:rPr>
      </w:pPr>
      <w:r w:rsidRPr="00B372A2">
        <w:rPr>
          <w:rFonts w:ascii="Arial" w:hAnsi="Arial" w:cs="Arial"/>
          <w:sz w:val="18"/>
          <w:szCs w:val="18"/>
        </w:rPr>
        <w:t>Estado de Situación Financiera</w:t>
      </w:r>
    </w:p>
    <w:p w14:paraId="11C46EA2" w14:textId="77777777" w:rsidR="00AD791F" w:rsidRPr="00B372A2" w:rsidRDefault="00AD791F" w:rsidP="00AD791F">
      <w:pPr>
        <w:pStyle w:val="Prrafodelista"/>
        <w:numPr>
          <w:ilvl w:val="0"/>
          <w:numId w:val="6"/>
        </w:numPr>
        <w:spacing w:line="360" w:lineRule="auto"/>
        <w:jc w:val="both"/>
        <w:rPr>
          <w:rFonts w:ascii="Arial" w:hAnsi="Arial" w:cs="Arial"/>
          <w:b/>
          <w:sz w:val="18"/>
          <w:szCs w:val="18"/>
        </w:rPr>
      </w:pPr>
      <w:r w:rsidRPr="00B372A2">
        <w:rPr>
          <w:rFonts w:ascii="Arial" w:hAnsi="Arial" w:cs="Arial"/>
          <w:sz w:val="18"/>
          <w:szCs w:val="18"/>
        </w:rPr>
        <w:t>Estado de Cambios en la Situación Financiera</w:t>
      </w:r>
    </w:p>
    <w:p w14:paraId="37D4EE61" w14:textId="77777777" w:rsidR="00AD791F" w:rsidRPr="00B372A2" w:rsidRDefault="00AD791F" w:rsidP="00AD791F">
      <w:pPr>
        <w:pStyle w:val="Prrafodelista"/>
        <w:numPr>
          <w:ilvl w:val="0"/>
          <w:numId w:val="6"/>
        </w:numPr>
        <w:spacing w:line="360" w:lineRule="auto"/>
        <w:jc w:val="both"/>
        <w:rPr>
          <w:rFonts w:ascii="Arial" w:hAnsi="Arial" w:cs="Arial"/>
          <w:b/>
          <w:sz w:val="18"/>
          <w:szCs w:val="18"/>
        </w:rPr>
      </w:pPr>
      <w:r w:rsidRPr="00B372A2">
        <w:rPr>
          <w:rFonts w:ascii="Arial" w:hAnsi="Arial" w:cs="Arial"/>
          <w:sz w:val="18"/>
          <w:szCs w:val="18"/>
        </w:rPr>
        <w:t>Estado Analítico del Activo</w:t>
      </w:r>
    </w:p>
    <w:p w14:paraId="7EC9DB8C" w14:textId="77777777" w:rsidR="00AD791F" w:rsidRPr="00B372A2" w:rsidRDefault="00AD791F" w:rsidP="00AD791F">
      <w:pPr>
        <w:pStyle w:val="Prrafodelista"/>
        <w:numPr>
          <w:ilvl w:val="0"/>
          <w:numId w:val="6"/>
        </w:numPr>
        <w:spacing w:line="360" w:lineRule="auto"/>
        <w:jc w:val="both"/>
        <w:rPr>
          <w:rFonts w:ascii="Arial" w:hAnsi="Arial" w:cs="Arial"/>
          <w:b/>
          <w:sz w:val="18"/>
          <w:szCs w:val="18"/>
        </w:rPr>
      </w:pPr>
      <w:r w:rsidRPr="00B372A2">
        <w:rPr>
          <w:rFonts w:ascii="Arial" w:hAnsi="Arial" w:cs="Arial"/>
          <w:sz w:val="18"/>
          <w:szCs w:val="18"/>
        </w:rPr>
        <w:t>Estado Analítico de la Deuda y Otros Pasivos</w:t>
      </w:r>
    </w:p>
    <w:p w14:paraId="20F881AC" w14:textId="77777777" w:rsidR="00AD791F" w:rsidRPr="00B372A2" w:rsidRDefault="00AD791F" w:rsidP="00AD791F">
      <w:pPr>
        <w:pStyle w:val="Prrafodelista"/>
        <w:numPr>
          <w:ilvl w:val="0"/>
          <w:numId w:val="6"/>
        </w:numPr>
        <w:spacing w:line="360" w:lineRule="auto"/>
        <w:jc w:val="both"/>
        <w:rPr>
          <w:rFonts w:ascii="Arial" w:hAnsi="Arial" w:cs="Arial"/>
          <w:b/>
          <w:sz w:val="18"/>
          <w:szCs w:val="18"/>
        </w:rPr>
      </w:pPr>
      <w:r w:rsidRPr="00B372A2">
        <w:rPr>
          <w:rFonts w:ascii="Arial" w:hAnsi="Arial" w:cs="Arial"/>
          <w:sz w:val="18"/>
          <w:szCs w:val="18"/>
        </w:rPr>
        <w:lastRenderedPageBreak/>
        <w:t>Estado de Variación de la Hacienda Pública</w:t>
      </w:r>
    </w:p>
    <w:p w14:paraId="7893680A" w14:textId="77777777" w:rsidR="00AD791F" w:rsidRPr="00042519" w:rsidRDefault="00AD791F" w:rsidP="00AD791F">
      <w:pPr>
        <w:pStyle w:val="Prrafodelista"/>
        <w:numPr>
          <w:ilvl w:val="0"/>
          <w:numId w:val="6"/>
        </w:numPr>
        <w:spacing w:line="360" w:lineRule="auto"/>
        <w:jc w:val="both"/>
        <w:rPr>
          <w:rFonts w:ascii="Arial" w:hAnsi="Arial" w:cs="Arial"/>
          <w:b/>
          <w:sz w:val="18"/>
          <w:szCs w:val="18"/>
        </w:rPr>
      </w:pPr>
      <w:r w:rsidRPr="00B372A2">
        <w:rPr>
          <w:rFonts w:ascii="Arial" w:hAnsi="Arial" w:cs="Arial"/>
          <w:sz w:val="18"/>
          <w:szCs w:val="18"/>
        </w:rPr>
        <w:t>Estado de Flujos de Efectivo</w:t>
      </w:r>
    </w:p>
    <w:p w14:paraId="4A0B4F8D" w14:textId="77777777" w:rsidR="00AD791F" w:rsidRPr="00042519" w:rsidRDefault="00AD791F" w:rsidP="00042519">
      <w:pPr>
        <w:pStyle w:val="Prrafodelista"/>
        <w:numPr>
          <w:ilvl w:val="0"/>
          <w:numId w:val="6"/>
        </w:numPr>
        <w:spacing w:line="360" w:lineRule="auto"/>
        <w:jc w:val="both"/>
        <w:rPr>
          <w:rFonts w:ascii="Arial" w:hAnsi="Arial" w:cs="Arial"/>
          <w:b/>
          <w:sz w:val="18"/>
          <w:szCs w:val="18"/>
        </w:rPr>
      </w:pPr>
      <w:r w:rsidRPr="00042519">
        <w:rPr>
          <w:rFonts w:ascii="Arial" w:hAnsi="Arial" w:cs="Arial"/>
          <w:sz w:val="18"/>
          <w:szCs w:val="18"/>
        </w:rPr>
        <w:t>Informe de Pasivos Contingentes</w:t>
      </w:r>
    </w:p>
    <w:p w14:paraId="2EF7C13F" w14:textId="77777777" w:rsidR="00AD791F" w:rsidRPr="00042519" w:rsidRDefault="00AD791F" w:rsidP="00042519">
      <w:pPr>
        <w:pStyle w:val="Prrafodelista"/>
        <w:numPr>
          <w:ilvl w:val="0"/>
          <w:numId w:val="6"/>
        </w:numPr>
        <w:spacing w:line="360" w:lineRule="auto"/>
        <w:jc w:val="both"/>
        <w:rPr>
          <w:rFonts w:ascii="Arial" w:hAnsi="Arial" w:cs="Arial"/>
          <w:b/>
          <w:sz w:val="18"/>
          <w:szCs w:val="18"/>
        </w:rPr>
      </w:pPr>
      <w:r w:rsidRPr="00042519">
        <w:rPr>
          <w:rFonts w:ascii="Arial" w:hAnsi="Arial" w:cs="Arial"/>
          <w:sz w:val="18"/>
          <w:szCs w:val="18"/>
        </w:rPr>
        <w:t>Notas a los Estados Financieros</w:t>
      </w:r>
    </w:p>
    <w:p w14:paraId="71BD4C60" w14:textId="77777777" w:rsidR="00AD791F" w:rsidRPr="00042519" w:rsidRDefault="00AD791F" w:rsidP="00042519">
      <w:pPr>
        <w:pStyle w:val="Prrafodelista"/>
        <w:numPr>
          <w:ilvl w:val="0"/>
          <w:numId w:val="6"/>
        </w:numPr>
        <w:spacing w:line="360" w:lineRule="auto"/>
        <w:jc w:val="both"/>
        <w:rPr>
          <w:rFonts w:ascii="Arial" w:hAnsi="Arial" w:cs="Arial"/>
          <w:b/>
          <w:sz w:val="18"/>
          <w:szCs w:val="18"/>
        </w:rPr>
      </w:pPr>
      <w:r w:rsidRPr="00042519">
        <w:rPr>
          <w:rFonts w:ascii="Arial" w:hAnsi="Arial" w:cs="Arial"/>
          <w:sz w:val="18"/>
          <w:szCs w:val="18"/>
        </w:rPr>
        <w:t>Notas de Desglose</w:t>
      </w:r>
    </w:p>
    <w:p w14:paraId="0627EB73" w14:textId="77777777" w:rsidR="00AD791F" w:rsidRPr="00042519" w:rsidRDefault="00AD791F" w:rsidP="00042519">
      <w:pPr>
        <w:pStyle w:val="Prrafodelista"/>
        <w:numPr>
          <w:ilvl w:val="0"/>
          <w:numId w:val="6"/>
        </w:numPr>
        <w:spacing w:line="360" w:lineRule="auto"/>
        <w:jc w:val="both"/>
        <w:rPr>
          <w:rFonts w:ascii="Arial" w:hAnsi="Arial" w:cs="Arial"/>
          <w:b/>
          <w:sz w:val="18"/>
          <w:szCs w:val="18"/>
        </w:rPr>
      </w:pPr>
      <w:r w:rsidRPr="00042519">
        <w:rPr>
          <w:rFonts w:ascii="Arial" w:hAnsi="Arial" w:cs="Arial"/>
          <w:sz w:val="18"/>
          <w:szCs w:val="18"/>
        </w:rPr>
        <w:t>Notas de Memoria (cuentas de orden)</w:t>
      </w:r>
    </w:p>
    <w:p w14:paraId="448055E5" w14:textId="77777777" w:rsidR="00AD791F" w:rsidRPr="00042519" w:rsidRDefault="00AD791F" w:rsidP="00042519">
      <w:pPr>
        <w:pStyle w:val="Prrafodelista"/>
        <w:numPr>
          <w:ilvl w:val="0"/>
          <w:numId w:val="6"/>
        </w:numPr>
        <w:spacing w:line="360" w:lineRule="auto"/>
        <w:jc w:val="both"/>
        <w:rPr>
          <w:rFonts w:ascii="Arial" w:hAnsi="Arial" w:cs="Arial"/>
          <w:b/>
          <w:sz w:val="18"/>
          <w:szCs w:val="18"/>
        </w:rPr>
      </w:pPr>
      <w:r w:rsidRPr="00042519">
        <w:rPr>
          <w:rFonts w:ascii="Arial" w:hAnsi="Arial" w:cs="Arial"/>
          <w:sz w:val="18"/>
          <w:szCs w:val="18"/>
        </w:rPr>
        <w:t>Notas de Gestión Administrativa</w:t>
      </w:r>
    </w:p>
    <w:p w14:paraId="1152ADE5" w14:textId="77777777" w:rsidR="005F103E" w:rsidRPr="00B372A2" w:rsidRDefault="005F103E" w:rsidP="00AD791F">
      <w:pPr>
        <w:pStyle w:val="Prrafodelista"/>
        <w:spacing w:line="360" w:lineRule="auto"/>
        <w:ind w:left="1440"/>
        <w:jc w:val="both"/>
        <w:rPr>
          <w:rFonts w:ascii="Arial" w:hAnsi="Arial" w:cs="Arial"/>
          <w:b/>
          <w:sz w:val="18"/>
          <w:szCs w:val="18"/>
        </w:rPr>
      </w:pPr>
    </w:p>
    <w:p w14:paraId="6FE52BC1" w14:textId="77777777" w:rsidR="00AD791F" w:rsidRPr="00B372A2" w:rsidRDefault="00AD791F" w:rsidP="00AD791F">
      <w:pPr>
        <w:pStyle w:val="Prrafodelista"/>
        <w:numPr>
          <w:ilvl w:val="0"/>
          <w:numId w:val="5"/>
        </w:numPr>
        <w:spacing w:line="360" w:lineRule="auto"/>
        <w:jc w:val="both"/>
        <w:rPr>
          <w:rFonts w:ascii="Arial" w:hAnsi="Arial" w:cs="Arial"/>
          <w:b/>
          <w:sz w:val="18"/>
          <w:szCs w:val="18"/>
        </w:rPr>
      </w:pPr>
      <w:r w:rsidRPr="00B372A2">
        <w:rPr>
          <w:rFonts w:ascii="Arial" w:hAnsi="Arial" w:cs="Arial"/>
          <w:b/>
          <w:sz w:val="18"/>
          <w:szCs w:val="18"/>
        </w:rPr>
        <w:t>Información Presupuestaria</w:t>
      </w:r>
    </w:p>
    <w:p w14:paraId="45CC7F8D" w14:textId="77777777" w:rsidR="00AD791F" w:rsidRPr="00B372A2" w:rsidRDefault="00AD791F" w:rsidP="00AD791F">
      <w:pPr>
        <w:pStyle w:val="Prrafodelista"/>
        <w:numPr>
          <w:ilvl w:val="0"/>
          <w:numId w:val="8"/>
        </w:numPr>
        <w:spacing w:line="360" w:lineRule="auto"/>
        <w:jc w:val="both"/>
        <w:rPr>
          <w:rFonts w:ascii="Arial" w:hAnsi="Arial" w:cs="Arial"/>
          <w:b/>
          <w:sz w:val="18"/>
          <w:szCs w:val="18"/>
        </w:rPr>
      </w:pPr>
      <w:r w:rsidRPr="00B372A2">
        <w:rPr>
          <w:rFonts w:ascii="Arial" w:hAnsi="Arial" w:cs="Arial"/>
          <w:sz w:val="18"/>
          <w:szCs w:val="18"/>
        </w:rPr>
        <w:t>Estado Analítico de Ingresos (por rubro y por fuente de financiamiento)</w:t>
      </w:r>
    </w:p>
    <w:p w14:paraId="5146288D" w14:textId="77777777" w:rsidR="00AD791F" w:rsidRPr="00B372A2" w:rsidRDefault="00AD791F" w:rsidP="00AD791F">
      <w:pPr>
        <w:pStyle w:val="Prrafodelista"/>
        <w:numPr>
          <w:ilvl w:val="0"/>
          <w:numId w:val="8"/>
        </w:numPr>
        <w:spacing w:line="360" w:lineRule="auto"/>
        <w:jc w:val="both"/>
        <w:rPr>
          <w:rFonts w:ascii="Arial" w:hAnsi="Arial" w:cs="Arial"/>
          <w:b/>
          <w:sz w:val="18"/>
          <w:szCs w:val="18"/>
        </w:rPr>
      </w:pPr>
      <w:r w:rsidRPr="00B372A2">
        <w:rPr>
          <w:rFonts w:ascii="Arial" w:hAnsi="Arial" w:cs="Arial"/>
          <w:sz w:val="18"/>
          <w:szCs w:val="18"/>
        </w:rPr>
        <w:t>Estado Analítico del Ejercicio Presupuesto de Egresos Clasificación Administrativa</w:t>
      </w:r>
    </w:p>
    <w:p w14:paraId="0B8E8B62" w14:textId="77777777" w:rsidR="00AD791F" w:rsidRPr="00B372A2" w:rsidRDefault="00AD791F" w:rsidP="00AD791F">
      <w:pPr>
        <w:pStyle w:val="Prrafodelista"/>
        <w:numPr>
          <w:ilvl w:val="0"/>
          <w:numId w:val="8"/>
        </w:numPr>
        <w:spacing w:line="360" w:lineRule="auto"/>
        <w:jc w:val="both"/>
        <w:rPr>
          <w:rFonts w:ascii="Arial" w:hAnsi="Arial" w:cs="Arial"/>
          <w:b/>
          <w:sz w:val="18"/>
          <w:szCs w:val="18"/>
        </w:rPr>
      </w:pPr>
      <w:r w:rsidRPr="00B372A2">
        <w:rPr>
          <w:rFonts w:ascii="Arial" w:hAnsi="Arial" w:cs="Arial"/>
          <w:sz w:val="18"/>
          <w:szCs w:val="18"/>
        </w:rPr>
        <w:t>Estado Analítico del Ejercicio del Presupuesto de Egresos Clasificación por Objeto del Gasto (capitulo y concepto)</w:t>
      </w:r>
    </w:p>
    <w:p w14:paraId="7685E020" w14:textId="77777777" w:rsidR="00AD791F" w:rsidRPr="00B372A2" w:rsidRDefault="00AD791F" w:rsidP="00AD791F">
      <w:pPr>
        <w:pStyle w:val="Prrafodelista"/>
        <w:numPr>
          <w:ilvl w:val="0"/>
          <w:numId w:val="8"/>
        </w:numPr>
        <w:spacing w:line="360" w:lineRule="auto"/>
        <w:jc w:val="both"/>
        <w:rPr>
          <w:rFonts w:ascii="Arial" w:hAnsi="Arial" w:cs="Arial"/>
          <w:b/>
          <w:sz w:val="18"/>
          <w:szCs w:val="18"/>
        </w:rPr>
      </w:pPr>
      <w:r w:rsidRPr="00B372A2">
        <w:rPr>
          <w:rFonts w:ascii="Arial" w:hAnsi="Arial" w:cs="Arial"/>
          <w:sz w:val="18"/>
          <w:szCs w:val="18"/>
        </w:rPr>
        <w:t>Estado Analítico del Ejercicio del Presupuesto de Egresos Clasificación Económica (por tipo de gasto)</w:t>
      </w:r>
    </w:p>
    <w:p w14:paraId="08F42E4E" w14:textId="77777777" w:rsidR="00AD791F" w:rsidRPr="00B372A2" w:rsidRDefault="00AD791F" w:rsidP="00AD791F">
      <w:pPr>
        <w:pStyle w:val="Prrafodelista"/>
        <w:numPr>
          <w:ilvl w:val="0"/>
          <w:numId w:val="8"/>
        </w:numPr>
        <w:spacing w:line="360" w:lineRule="auto"/>
        <w:jc w:val="both"/>
        <w:rPr>
          <w:rFonts w:ascii="Arial" w:hAnsi="Arial" w:cs="Arial"/>
          <w:b/>
          <w:sz w:val="18"/>
          <w:szCs w:val="18"/>
        </w:rPr>
      </w:pPr>
      <w:r w:rsidRPr="00B372A2">
        <w:rPr>
          <w:rFonts w:ascii="Arial" w:hAnsi="Arial" w:cs="Arial"/>
          <w:sz w:val="18"/>
          <w:szCs w:val="18"/>
        </w:rPr>
        <w:t>Estado Analítico del Ejercicio del Presupuesto de Egresos Clasificación Funcional (Finalidad y Función)</w:t>
      </w:r>
    </w:p>
    <w:p w14:paraId="1AA1116C" w14:textId="77777777" w:rsidR="00AD791F" w:rsidRPr="00B372A2" w:rsidRDefault="00AD791F" w:rsidP="00AD791F">
      <w:pPr>
        <w:pStyle w:val="Prrafodelista"/>
        <w:numPr>
          <w:ilvl w:val="0"/>
          <w:numId w:val="8"/>
        </w:numPr>
        <w:spacing w:line="360" w:lineRule="auto"/>
        <w:jc w:val="both"/>
        <w:rPr>
          <w:rFonts w:ascii="Arial" w:hAnsi="Arial" w:cs="Arial"/>
          <w:b/>
          <w:sz w:val="18"/>
          <w:szCs w:val="18"/>
        </w:rPr>
      </w:pPr>
      <w:r w:rsidRPr="00B372A2">
        <w:rPr>
          <w:rFonts w:ascii="Arial" w:hAnsi="Arial" w:cs="Arial"/>
          <w:sz w:val="18"/>
          <w:szCs w:val="18"/>
        </w:rPr>
        <w:t>Endeudamiento Neto</w:t>
      </w:r>
    </w:p>
    <w:p w14:paraId="302620B8" w14:textId="77777777" w:rsidR="00AD791F" w:rsidRPr="00B372A2" w:rsidRDefault="00AD791F" w:rsidP="00AD791F">
      <w:pPr>
        <w:pStyle w:val="Prrafodelista"/>
        <w:numPr>
          <w:ilvl w:val="0"/>
          <w:numId w:val="8"/>
        </w:numPr>
        <w:spacing w:line="360" w:lineRule="auto"/>
        <w:jc w:val="both"/>
        <w:rPr>
          <w:rFonts w:ascii="Arial" w:hAnsi="Arial" w:cs="Arial"/>
          <w:b/>
          <w:sz w:val="18"/>
          <w:szCs w:val="18"/>
        </w:rPr>
      </w:pPr>
      <w:r w:rsidRPr="00B372A2">
        <w:rPr>
          <w:rFonts w:ascii="Arial" w:hAnsi="Arial" w:cs="Arial"/>
          <w:sz w:val="18"/>
          <w:szCs w:val="18"/>
        </w:rPr>
        <w:t>Intereses de Deuda</w:t>
      </w:r>
    </w:p>
    <w:p w14:paraId="41C20D6F" w14:textId="77777777" w:rsidR="00AD791F" w:rsidRDefault="00AD791F" w:rsidP="00AD791F">
      <w:pPr>
        <w:pStyle w:val="Prrafodelista"/>
        <w:numPr>
          <w:ilvl w:val="0"/>
          <w:numId w:val="8"/>
        </w:numPr>
        <w:spacing w:line="360" w:lineRule="auto"/>
        <w:jc w:val="both"/>
        <w:rPr>
          <w:rFonts w:ascii="Arial" w:hAnsi="Arial" w:cs="Arial"/>
          <w:sz w:val="18"/>
          <w:szCs w:val="18"/>
        </w:rPr>
      </w:pPr>
      <w:r w:rsidRPr="00B372A2">
        <w:rPr>
          <w:rFonts w:ascii="Arial" w:hAnsi="Arial" w:cs="Arial"/>
          <w:sz w:val="18"/>
          <w:szCs w:val="18"/>
        </w:rPr>
        <w:t>Indicadores de Postura Fiscal</w:t>
      </w:r>
    </w:p>
    <w:p w14:paraId="4F7E4F48" w14:textId="77777777" w:rsidR="006A4F83" w:rsidRDefault="006A4F83" w:rsidP="00AD791F">
      <w:pPr>
        <w:pStyle w:val="Prrafodelista"/>
        <w:spacing w:line="360" w:lineRule="auto"/>
        <w:ind w:left="1080"/>
        <w:jc w:val="both"/>
        <w:rPr>
          <w:rFonts w:ascii="Arial" w:hAnsi="Arial" w:cs="Arial"/>
          <w:sz w:val="18"/>
          <w:szCs w:val="18"/>
        </w:rPr>
      </w:pPr>
    </w:p>
    <w:p w14:paraId="6ADED82E" w14:textId="77777777" w:rsidR="00AD791F" w:rsidRPr="00067787" w:rsidRDefault="00AD791F" w:rsidP="00067787">
      <w:pPr>
        <w:pStyle w:val="Prrafodelista"/>
        <w:numPr>
          <w:ilvl w:val="0"/>
          <w:numId w:val="5"/>
        </w:numPr>
        <w:spacing w:line="360" w:lineRule="auto"/>
        <w:jc w:val="both"/>
        <w:rPr>
          <w:rFonts w:ascii="Arial" w:hAnsi="Arial" w:cs="Arial"/>
          <w:b/>
          <w:sz w:val="18"/>
          <w:szCs w:val="18"/>
        </w:rPr>
      </w:pPr>
      <w:r w:rsidRPr="00067787">
        <w:rPr>
          <w:rFonts w:ascii="Arial" w:hAnsi="Arial" w:cs="Arial"/>
          <w:b/>
          <w:sz w:val="18"/>
          <w:szCs w:val="18"/>
        </w:rPr>
        <w:t>Información Programática</w:t>
      </w:r>
    </w:p>
    <w:p w14:paraId="0218550D" w14:textId="77777777" w:rsidR="00AD791F" w:rsidRPr="00B372A2" w:rsidRDefault="00AD791F" w:rsidP="00042519">
      <w:pPr>
        <w:pStyle w:val="Prrafodelista"/>
        <w:numPr>
          <w:ilvl w:val="0"/>
          <w:numId w:val="9"/>
        </w:numPr>
        <w:tabs>
          <w:tab w:val="left" w:pos="1134"/>
        </w:tabs>
        <w:spacing w:line="360" w:lineRule="auto"/>
        <w:ind w:hanging="11"/>
        <w:jc w:val="both"/>
        <w:rPr>
          <w:rFonts w:ascii="Arial" w:hAnsi="Arial" w:cs="Arial"/>
          <w:b/>
          <w:sz w:val="18"/>
          <w:szCs w:val="18"/>
        </w:rPr>
      </w:pPr>
      <w:r w:rsidRPr="00B372A2">
        <w:rPr>
          <w:rFonts w:ascii="Arial" w:hAnsi="Arial" w:cs="Arial"/>
          <w:sz w:val="18"/>
          <w:szCs w:val="18"/>
        </w:rPr>
        <w:t>Gastos por Categoría Programática</w:t>
      </w:r>
    </w:p>
    <w:p w14:paraId="7A837C68" w14:textId="77777777" w:rsidR="00AD791F" w:rsidRPr="00B372A2" w:rsidRDefault="00AD791F" w:rsidP="00042519">
      <w:pPr>
        <w:pStyle w:val="Prrafodelista"/>
        <w:numPr>
          <w:ilvl w:val="0"/>
          <w:numId w:val="9"/>
        </w:numPr>
        <w:tabs>
          <w:tab w:val="left" w:pos="1134"/>
        </w:tabs>
        <w:spacing w:line="360" w:lineRule="auto"/>
        <w:ind w:hanging="11"/>
        <w:jc w:val="both"/>
        <w:rPr>
          <w:rFonts w:ascii="Arial" w:hAnsi="Arial" w:cs="Arial"/>
          <w:b/>
          <w:sz w:val="18"/>
          <w:szCs w:val="18"/>
        </w:rPr>
      </w:pPr>
      <w:r w:rsidRPr="00B372A2">
        <w:rPr>
          <w:rFonts w:ascii="Arial" w:hAnsi="Arial" w:cs="Arial"/>
          <w:sz w:val="18"/>
          <w:szCs w:val="18"/>
        </w:rPr>
        <w:t>Programas y Proyectos de Inversión</w:t>
      </w:r>
    </w:p>
    <w:p w14:paraId="214893D4" w14:textId="75D49CF2" w:rsidR="00AD791F" w:rsidRPr="00FF41A1" w:rsidRDefault="00AD791F" w:rsidP="00042519">
      <w:pPr>
        <w:pStyle w:val="Prrafodelista"/>
        <w:numPr>
          <w:ilvl w:val="0"/>
          <w:numId w:val="9"/>
        </w:numPr>
        <w:tabs>
          <w:tab w:val="left" w:pos="1134"/>
        </w:tabs>
        <w:spacing w:line="360" w:lineRule="auto"/>
        <w:ind w:hanging="11"/>
        <w:jc w:val="both"/>
        <w:rPr>
          <w:rFonts w:ascii="Arial" w:hAnsi="Arial" w:cs="Arial"/>
          <w:b/>
          <w:sz w:val="18"/>
          <w:szCs w:val="18"/>
        </w:rPr>
      </w:pPr>
      <w:r w:rsidRPr="00B372A2">
        <w:rPr>
          <w:rFonts w:ascii="Arial" w:hAnsi="Arial" w:cs="Arial"/>
          <w:sz w:val="18"/>
          <w:szCs w:val="18"/>
        </w:rPr>
        <w:t>Indicadores de Resultados</w:t>
      </w:r>
    </w:p>
    <w:p w14:paraId="7895E5A0" w14:textId="77777777" w:rsidR="00FF41A1" w:rsidRPr="006A4F83" w:rsidRDefault="00FF41A1" w:rsidP="00FF41A1">
      <w:pPr>
        <w:pStyle w:val="Prrafodelista"/>
        <w:tabs>
          <w:tab w:val="left" w:pos="1134"/>
        </w:tabs>
        <w:spacing w:line="360" w:lineRule="auto"/>
        <w:jc w:val="both"/>
        <w:rPr>
          <w:rFonts w:ascii="Arial" w:hAnsi="Arial" w:cs="Arial"/>
          <w:b/>
          <w:sz w:val="18"/>
          <w:szCs w:val="18"/>
        </w:rPr>
      </w:pPr>
    </w:p>
    <w:p w14:paraId="77EFF290" w14:textId="77777777" w:rsidR="00AD791F" w:rsidRPr="00B372A2" w:rsidRDefault="00AD791F" w:rsidP="00AD791F">
      <w:pPr>
        <w:pStyle w:val="Prrafodelista"/>
        <w:numPr>
          <w:ilvl w:val="0"/>
          <w:numId w:val="5"/>
        </w:numPr>
        <w:spacing w:line="360" w:lineRule="auto"/>
        <w:jc w:val="both"/>
        <w:rPr>
          <w:rFonts w:ascii="Arial" w:hAnsi="Arial" w:cs="Arial"/>
          <w:b/>
          <w:sz w:val="18"/>
          <w:szCs w:val="18"/>
        </w:rPr>
      </w:pPr>
      <w:r w:rsidRPr="00B372A2">
        <w:rPr>
          <w:rFonts w:ascii="Arial" w:hAnsi="Arial" w:cs="Arial"/>
          <w:b/>
          <w:sz w:val="18"/>
          <w:szCs w:val="18"/>
        </w:rPr>
        <w:t>Anexos</w:t>
      </w:r>
    </w:p>
    <w:p w14:paraId="4B397586" w14:textId="77777777" w:rsidR="00AD791F" w:rsidRPr="00B372A2" w:rsidRDefault="00AD791F" w:rsidP="00B43C7F">
      <w:pPr>
        <w:pStyle w:val="Prrafodelista"/>
        <w:numPr>
          <w:ilvl w:val="0"/>
          <w:numId w:val="16"/>
        </w:numPr>
        <w:tabs>
          <w:tab w:val="left" w:pos="1134"/>
        </w:tabs>
        <w:spacing w:line="360" w:lineRule="auto"/>
        <w:jc w:val="both"/>
        <w:rPr>
          <w:rFonts w:ascii="Arial" w:hAnsi="Arial" w:cs="Arial"/>
          <w:b/>
          <w:sz w:val="18"/>
          <w:szCs w:val="18"/>
        </w:rPr>
      </w:pPr>
      <w:r w:rsidRPr="00B372A2">
        <w:rPr>
          <w:rFonts w:ascii="Arial" w:hAnsi="Arial" w:cs="Arial"/>
          <w:sz w:val="18"/>
          <w:szCs w:val="18"/>
        </w:rPr>
        <w:t>Relación de Bienes Muebles que Componen el Patrimonio</w:t>
      </w:r>
    </w:p>
    <w:p w14:paraId="765E6F37" w14:textId="77777777" w:rsidR="00AD791F" w:rsidRPr="00B372A2" w:rsidRDefault="00AD791F" w:rsidP="00B43C7F">
      <w:pPr>
        <w:pStyle w:val="Prrafodelista"/>
        <w:numPr>
          <w:ilvl w:val="0"/>
          <w:numId w:val="16"/>
        </w:numPr>
        <w:tabs>
          <w:tab w:val="left" w:pos="1134"/>
        </w:tabs>
        <w:spacing w:line="360" w:lineRule="auto"/>
        <w:jc w:val="both"/>
        <w:rPr>
          <w:rFonts w:ascii="Arial" w:hAnsi="Arial" w:cs="Arial"/>
          <w:sz w:val="18"/>
          <w:szCs w:val="18"/>
        </w:rPr>
      </w:pPr>
      <w:r w:rsidRPr="00B372A2">
        <w:rPr>
          <w:rFonts w:ascii="Arial" w:hAnsi="Arial" w:cs="Arial"/>
          <w:sz w:val="18"/>
          <w:szCs w:val="18"/>
        </w:rPr>
        <w:t>Relación de Bienes Inmuebles que Componen el Patrimonio</w:t>
      </w:r>
    </w:p>
    <w:p w14:paraId="1FDD9382" w14:textId="77777777" w:rsidR="00AD791F" w:rsidRPr="00B372A2" w:rsidRDefault="00AD791F" w:rsidP="00B43C7F">
      <w:pPr>
        <w:pStyle w:val="Prrafodelista"/>
        <w:numPr>
          <w:ilvl w:val="0"/>
          <w:numId w:val="16"/>
        </w:numPr>
        <w:tabs>
          <w:tab w:val="left" w:pos="1134"/>
        </w:tabs>
        <w:spacing w:line="360" w:lineRule="auto"/>
        <w:jc w:val="both"/>
        <w:rPr>
          <w:rFonts w:ascii="Arial" w:hAnsi="Arial" w:cs="Arial"/>
          <w:sz w:val="18"/>
          <w:szCs w:val="18"/>
        </w:rPr>
      </w:pPr>
      <w:r w:rsidRPr="00B372A2">
        <w:rPr>
          <w:rFonts w:ascii="Arial" w:hAnsi="Arial" w:cs="Arial"/>
          <w:sz w:val="18"/>
          <w:szCs w:val="18"/>
        </w:rPr>
        <w:t>Relación de Cuentas Bancarias Productivas Especificas</w:t>
      </w:r>
    </w:p>
    <w:p w14:paraId="246FD94D" w14:textId="77777777" w:rsidR="004137E3" w:rsidRPr="004137E3" w:rsidRDefault="00AD791F" w:rsidP="00A359E2">
      <w:pPr>
        <w:pStyle w:val="Prrafodelista"/>
        <w:numPr>
          <w:ilvl w:val="0"/>
          <w:numId w:val="16"/>
        </w:numPr>
        <w:tabs>
          <w:tab w:val="left" w:pos="1134"/>
        </w:tabs>
        <w:spacing w:after="0" w:line="360" w:lineRule="auto"/>
        <w:jc w:val="both"/>
        <w:rPr>
          <w:rFonts w:ascii="Arial" w:eastAsia="Times New Roman" w:hAnsi="Arial" w:cs="Arial"/>
          <w:sz w:val="18"/>
          <w:szCs w:val="18"/>
        </w:rPr>
      </w:pPr>
      <w:r w:rsidRPr="004137E3">
        <w:rPr>
          <w:rFonts w:ascii="Arial" w:hAnsi="Arial" w:cs="Arial"/>
          <w:sz w:val="18"/>
          <w:szCs w:val="18"/>
        </w:rPr>
        <w:t>Relación de Esquemas Bursátiles y de Coberturas Financieras</w:t>
      </w:r>
    </w:p>
    <w:p w14:paraId="0698D022" w14:textId="3599756C" w:rsidR="00B43C7F" w:rsidRDefault="00067787" w:rsidP="00A359E2">
      <w:pPr>
        <w:pStyle w:val="Prrafodelista"/>
        <w:numPr>
          <w:ilvl w:val="0"/>
          <w:numId w:val="16"/>
        </w:numPr>
        <w:tabs>
          <w:tab w:val="left" w:pos="1134"/>
        </w:tabs>
        <w:spacing w:after="0" w:line="360" w:lineRule="auto"/>
        <w:jc w:val="both"/>
        <w:rPr>
          <w:rFonts w:ascii="Arial" w:eastAsia="Times New Roman" w:hAnsi="Arial" w:cs="Arial"/>
          <w:sz w:val="18"/>
          <w:szCs w:val="18"/>
        </w:rPr>
      </w:pPr>
      <w:r w:rsidRPr="004137E3">
        <w:rPr>
          <w:rFonts w:ascii="Arial" w:eastAsia="Times New Roman" w:hAnsi="Arial" w:cs="Arial"/>
          <w:sz w:val="18"/>
          <w:szCs w:val="18"/>
        </w:rPr>
        <w:t xml:space="preserve">Balanza de Comprobación. </w:t>
      </w:r>
    </w:p>
    <w:p w14:paraId="037CD7E4" w14:textId="09F55A1F" w:rsidR="004137E3" w:rsidRPr="004137E3" w:rsidRDefault="004137E3" w:rsidP="00A359E2">
      <w:pPr>
        <w:pStyle w:val="Prrafodelista"/>
        <w:numPr>
          <w:ilvl w:val="0"/>
          <w:numId w:val="16"/>
        </w:numPr>
        <w:tabs>
          <w:tab w:val="left" w:pos="1134"/>
        </w:tabs>
        <w:spacing w:after="0" w:line="360" w:lineRule="auto"/>
        <w:jc w:val="both"/>
        <w:rPr>
          <w:rFonts w:ascii="Arial" w:eastAsia="Times New Roman" w:hAnsi="Arial" w:cs="Arial"/>
          <w:sz w:val="18"/>
          <w:szCs w:val="18"/>
        </w:rPr>
      </w:pPr>
      <w:r w:rsidRPr="00067787">
        <w:rPr>
          <w:rFonts w:ascii="Arial" w:eastAsia="Times New Roman" w:hAnsi="Arial" w:cs="Arial"/>
          <w:sz w:val="18"/>
          <w:szCs w:val="18"/>
        </w:rPr>
        <w:t>Auxiliares Contables</w:t>
      </w:r>
    </w:p>
    <w:p w14:paraId="2F755396" w14:textId="69AD801D" w:rsidR="00067787" w:rsidRDefault="00067787" w:rsidP="00B43C7F">
      <w:pPr>
        <w:numPr>
          <w:ilvl w:val="0"/>
          <w:numId w:val="16"/>
        </w:numPr>
        <w:spacing w:after="0" w:line="360" w:lineRule="auto"/>
        <w:rPr>
          <w:rFonts w:ascii="Arial" w:eastAsia="Times New Roman" w:hAnsi="Arial" w:cs="Arial"/>
          <w:sz w:val="18"/>
          <w:szCs w:val="18"/>
        </w:rPr>
      </w:pPr>
      <w:r w:rsidRPr="00B43C7F">
        <w:rPr>
          <w:rFonts w:ascii="Arial" w:eastAsia="Times New Roman" w:hAnsi="Arial" w:cs="Arial"/>
          <w:sz w:val="18"/>
          <w:szCs w:val="18"/>
        </w:rPr>
        <w:lastRenderedPageBreak/>
        <w:t>Relación de Bancos</w:t>
      </w:r>
    </w:p>
    <w:p w14:paraId="431473EA" w14:textId="6BA77CDC" w:rsidR="00067787" w:rsidRDefault="00067787" w:rsidP="00B43C7F">
      <w:pPr>
        <w:numPr>
          <w:ilvl w:val="0"/>
          <w:numId w:val="16"/>
        </w:numPr>
        <w:spacing w:after="0" w:line="360" w:lineRule="auto"/>
        <w:rPr>
          <w:rFonts w:ascii="Arial" w:eastAsia="Times New Roman" w:hAnsi="Arial" w:cs="Arial"/>
          <w:sz w:val="18"/>
          <w:szCs w:val="18"/>
        </w:rPr>
      </w:pPr>
      <w:r>
        <w:rPr>
          <w:rFonts w:ascii="Arial" w:eastAsia="Times New Roman" w:hAnsi="Arial" w:cs="Arial"/>
          <w:sz w:val="18"/>
          <w:szCs w:val="18"/>
        </w:rPr>
        <w:t>Conciliaciones Bancarias</w:t>
      </w:r>
      <w:r w:rsidR="004137E3">
        <w:rPr>
          <w:rFonts w:ascii="Arial" w:eastAsia="Times New Roman" w:hAnsi="Arial" w:cs="Arial"/>
          <w:sz w:val="18"/>
          <w:szCs w:val="18"/>
        </w:rPr>
        <w:t xml:space="preserve"> y Estados de cuenta Bancaria</w:t>
      </w:r>
    </w:p>
    <w:p w14:paraId="6E6546FC" w14:textId="72FEE6D2" w:rsidR="004137E3" w:rsidRPr="00067787" w:rsidRDefault="004137E3" w:rsidP="004137E3">
      <w:pPr>
        <w:numPr>
          <w:ilvl w:val="0"/>
          <w:numId w:val="16"/>
        </w:numPr>
        <w:spacing w:after="0" w:line="360" w:lineRule="auto"/>
        <w:rPr>
          <w:rFonts w:ascii="Arial" w:eastAsia="Times New Roman" w:hAnsi="Arial" w:cs="Arial"/>
          <w:sz w:val="18"/>
          <w:szCs w:val="18"/>
        </w:rPr>
      </w:pPr>
      <w:bookmarkStart w:id="1" w:name="_Hlk36026404"/>
      <w:bookmarkStart w:id="2" w:name="_Hlk36027996"/>
      <w:r w:rsidRPr="00067787">
        <w:rPr>
          <w:rFonts w:ascii="Arial" w:eastAsia="Times New Roman" w:hAnsi="Arial" w:cs="Arial"/>
          <w:sz w:val="18"/>
          <w:szCs w:val="18"/>
        </w:rPr>
        <w:t>Es</w:t>
      </w:r>
      <w:r>
        <w:rPr>
          <w:rFonts w:ascii="Arial" w:eastAsia="Times New Roman" w:hAnsi="Arial" w:cs="Arial"/>
          <w:sz w:val="18"/>
          <w:szCs w:val="18"/>
        </w:rPr>
        <w:t>tado Presupuestario de Ingresos desagregado por concepto</w:t>
      </w:r>
    </w:p>
    <w:bookmarkEnd w:id="1"/>
    <w:p w14:paraId="40BCBD37" w14:textId="23B1B616" w:rsidR="004137E3" w:rsidRPr="00067787" w:rsidRDefault="004137E3" w:rsidP="004137E3">
      <w:pPr>
        <w:numPr>
          <w:ilvl w:val="0"/>
          <w:numId w:val="16"/>
        </w:numPr>
        <w:spacing w:after="0" w:line="360" w:lineRule="auto"/>
        <w:rPr>
          <w:rFonts w:ascii="Arial" w:eastAsia="Times New Roman" w:hAnsi="Arial" w:cs="Arial"/>
          <w:sz w:val="18"/>
          <w:szCs w:val="18"/>
        </w:rPr>
      </w:pPr>
      <w:r w:rsidRPr="00067787">
        <w:rPr>
          <w:rFonts w:ascii="Arial" w:eastAsia="Times New Roman" w:hAnsi="Arial" w:cs="Arial"/>
          <w:sz w:val="18"/>
          <w:szCs w:val="18"/>
        </w:rPr>
        <w:t>Es</w:t>
      </w:r>
      <w:r>
        <w:rPr>
          <w:rFonts w:ascii="Arial" w:eastAsia="Times New Roman" w:hAnsi="Arial" w:cs="Arial"/>
          <w:sz w:val="18"/>
          <w:szCs w:val="18"/>
        </w:rPr>
        <w:t>tado Presupuestario de Egresos desagregado por partida, del periodo y acumulado</w:t>
      </w:r>
    </w:p>
    <w:p w14:paraId="05E3266E" w14:textId="456C7D4F" w:rsidR="004137E3" w:rsidRDefault="004137E3" w:rsidP="00B43C7F">
      <w:pPr>
        <w:numPr>
          <w:ilvl w:val="0"/>
          <w:numId w:val="16"/>
        </w:numPr>
        <w:spacing w:after="0" w:line="360" w:lineRule="auto"/>
        <w:rPr>
          <w:rFonts w:ascii="Arial" w:eastAsia="Times New Roman" w:hAnsi="Arial" w:cs="Arial"/>
          <w:sz w:val="18"/>
          <w:szCs w:val="18"/>
        </w:rPr>
      </w:pPr>
      <w:r>
        <w:rPr>
          <w:rFonts w:ascii="Arial" w:eastAsia="Times New Roman" w:hAnsi="Arial" w:cs="Arial"/>
          <w:sz w:val="18"/>
          <w:szCs w:val="18"/>
        </w:rPr>
        <w:t>Avance del Programa Operativo Anual</w:t>
      </w:r>
    </w:p>
    <w:p w14:paraId="6E1007DA" w14:textId="566745EA" w:rsidR="004137E3" w:rsidRPr="00067787" w:rsidRDefault="004137E3" w:rsidP="00B43C7F">
      <w:pPr>
        <w:numPr>
          <w:ilvl w:val="0"/>
          <w:numId w:val="16"/>
        </w:numPr>
        <w:spacing w:after="0" w:line="360" w:lineRule="auto"/>
        <w:rPr>
          <w:rFonts w:ascii="Arial" w:eastAsia="Times New Roman" w:hAnsi="Arial" w:cs="Arial"/>
          <w:sz w:val="18"/>
          <w:szCs w:val="18"/>
        </w:rPr>
      </w:pPr>
      <w:r>
        <w:rPr>
          <w:rFonts w:ascii="Arial" w:eastAsia="Times New Roman" w:hAnsi="Arial" w:cs="Arial"/>
          <w:sz w:val="18"/>
          <w:szCs w:val="18"/>
        </w:rPr>
        <w:t>Inventario de Bienes Muebles, Inmuebles e Intangibles, clasificado y cuantificado</w:t>
      </w:r>
    </w:p>
    <w:p w14:paraId="3AE65CA4" w14:textId="161843F4" w:rsidR="00067787" w:rsidRPr="004137E3" w:rsidRDefault="00067787" w:rsidP="004137E3">
      <w:pPr>
        <w:numPr>
          <w:ilvl w:val="0"/>
          <w:numId w:val="16"/>
        </w:numPr>
        <w:spacing w:after="0" w:line="360" w:lineRule="auto"/>
        <w:rPr>
          <w:rFonts w:ascii="Arial" w:eastAsia="Times New Roman" w:hAnsi="Arial" w:cs="Arial"/>
          <w:sz w:val="18"/>
          <w:szCs w:val="18"/>
        </w:rPr>
      </w:pPr>
      <w:r>
        <w:rPr>
          <w:rFonts w:ascii="Arial" w:eastAsia="Times New Roman" w:hAnsi="Arial" w:cs="Arial"/>
          <w:sz w:val="18"/>
          <w:szCs w:val="18"/>
        </w:rPr>
        <w:t>Relación de Ingresos Trimestral</w:t>
      </w:r>
    </w:p>
    <w:p w14:paraId="327CD9CB" w14:textId="77777777" w:rsidR="00067787" w:rsidRDefault="00067787" w:rsidP="00B43C7F">
      <w:pPr>
        <w:numPr>
          <w:ilvl w:val="0"/>
          <w:numId w:val="16"/>
        </w:numPr>
        <w:spacing w:after="0" w:line="360" w:lineRule="auto"/>
        <w:rPr>
          <w:rFonts w:ascii="Arial" w:eastAsia="Times New Roman" w:hAnsi="Arial" w:cs="Arial"/>
          <w:sz w:val="18"/>
          <w:szCs w:val="18"/>
        </w:rPr>
      </w:pPr>
      <w:r>
        <w:rPr>
          <w:rFonts w:ascii="Arial" w:eastAsia="Times New Roman" w:hAnsi="Arial" w:cs="Arial"/>
          <w:sz w:val="18"/>
          <w:szCs w:val="18"/>
        </w:rPr>
        <w:t>Relación de Egresos Trimestral</w:t>
      </w:r>
    </w:p>
    <w:p w14:paraId="1BD1E286" w14:textId="7D410FD6" w:rsidR="00067787" w:rsidRPr="00067787" w:rsidRDefault="00067787" w:rsidP="00B43C7F">
      <w:pPr>
        <w:numPr>
          <w:ilvl w:val="0"/>
          <w:numId w:val="16"/>
        </w:numPr>
        <w:spacing w:after="0" w:line="360" w:lineRule="auto"/>
        <w:rPr>
          <w:rFonts w:ascii="Arial" w:eastAsia="Times New Roman" w:hAnsi="Arial" w:cs="Arial"/>
          <w:sz w:val="18"/>
          <w:szCs w:val="18"/>
        </w:rPr>
      </w:pPr>
      <w:r>
        <w:rPr>
          <w:rFonts w:ascii="Arial" w:eastAsia="Times New Roman" w:hAnsi="Arial" w:cs="Arial"/>
          <w:sz w:val="18"/>
          <w:szCs w:val="18"/>
        </w:rPr>
        <w:t>Plantilla de Personal</w:t>
      </w:r>
      <w:r w:rsidR="004137E3">
        <w:rPr>
          <w:rFonts w:ascii="Arial" w:eastAsia="Times New Roman" w:hAnsi="Arial" w:cs="Arial"/>
          <w:sz w:val="18"/>
          <w:szCs w:val="18"/>
        </w:rPr>
        <w:t xml:space="preserve"> Trimestral</w:t>
      </w:r>
    </w:p>
    <w:p w14:paraId="54DBBEC5" w14:textId="299712C1" w:rsidR="00067787" w:rsidRDefault="004137E3" w:rsidP="00B43C7F">
      <w:pPr>
        <w:numPr>
          <w:ilvl w:val="0"/>
          <w:numId w:val="16"/>
        </w:numPr>
        <w:spacing w:after="0" w:line="360" w:lineRule="auto"/>
        <w:jc w:val="both"/>
        <w:rPr>
          <w:rFonts w:ascii="Arial" w:eastAsia="Times New Roman" w:hAnsi="Arial" w:cs="Arial"/>
          <w:sz w:val="18"/>
          <w:szCs w:val="18"/>
        </w:rPr>
      </w:pPr>
      <w:r>
        <w:rPr>
          <w:rFonts w:ascii="Arial" w:eastAsia="Times New Roman" w:hAnsi="Arial" w:cs="Arial"/>
          <w:sz w:val="18"/>
          <w:szCs w:val="18"/>
        </w:rPr>
        <w:t xml:space="preserve">Libro </w:t>
      </w:r>
      <w:r w:rsidR="00067787" w:rsidRPr="00067787">
        <w:rPr>
          <w:rFonts w:ascii="Arial" w:eastAsia="Times New Roman" w:hAnsi="Arial" w:cs="Arial"/>
          <w:sz w:val="18"/>
          <w:szCs w:val="18"/>
        </w:rPr>
        <w:t>Diario.</w:t>
      </w:r>
    </w:p>
    <w:p w14:paraId="23B731AF" w14:textId="77777777" w:rsidR="00FF41A1" w:rsidRDefault="00FF41A1" w:rsidP="00FF41A1">
      <w:pPr>
        <w:spacing w:after="0" w:line="360" w:lineRule="auto"/>
        <w:ind w:left="1068"/>
        <w:jc w:val="both"/>
        <w:rPr>
          <w:rFonts w:ascii="Arial" w:eastAsia="Times New Roman" w:hAnsi="Arial" w:cs="Arial"/>
          <w:sz w:val="18"/>
          <w:szCs w:val="18"/>
        </w:rPr>
      </w:pPr>
    </w:p>
    <w:bookmarkEnd w:id="2"/>
    <w:p w14:paraId="609D01A2" w14:textId="77777777" w:rsidR="00AD791F" w:rsidRPr="00B372A2" w:rsidRDefault="00AD791F" w:rsidP="00AD791F">
      <w:pPr>
        <w:pStyle w:val="Prrafodelista"/>
        <w:numPr>
          <w:ilvl w:val="0"/>
          <w:numId w:val="5"/>
        </w:numPr>
        <w:spacing w:line="360" w:lineRule="auto"/>
        <w:jc w:val="both"/>
        <w:rPr>
          <w:rFonts w:ascii="Arial" w:hAnsi="Arial" w:cs="Arial"/>
          <w:b/>
          <w:sz w:val="18"/>
          <w:szCs w:val="18"/>
        </w:rPr>
      </w:pPr>
      <w:r w:rsidRPr="00B372A2">
        <w:rPr>
          <w:rFonts w:ascii="Arial" w:hAnsi="Arial" w:cs="Arial"/>
          <w:b/>
          <w:sz w:val="18"/>
          <w:szCs w:val="18"/>
        </w:rPr>
        <w:t>Formatos de Disciplina Financiera</w:t>
      </w:r>
    </w:p>
    <w:p w14:paraId="0254954C" w14:textId="77777777" w:rsidR="00042519" w:rsidRPr="006A4F83" w:rsidRDefault="00042519" w:rsidP="00C762B8">
      <w:pPr>
        <w:pStyle w:val="Texto"/>
        <w:numPr>
          <w:ilvl w:val="0"/>
          <w:numId w:val="13"/>
        </w:numPr>
        <w:spacing w:line="240" w:lineRule="auto"/>
        <w:ind w:left="1077" w:hanging="357"/>
        <w:rPr>
          <w:b/>
          <w:sz w:val="16"/>
          <w:szCs w:val="16"/>
        </w:rPr>
      </w:pPr>
      <w:r w:rsidRPr="006A4F83">
        <w:rPr>
          <w:b/>
          <w:sz w:val="16"/>
          <w:szCs w:val="16"/>
        </w:rPr>
        <w:t xml:space="preserve">Formato 1   </w:t>
      </w:r>
      <w:r w:rsidRPr="006A4F83">
        <w:rPr>
          <w:sz w:val="16"/>
          <w:szCs w:val="16"/>
        </w:rPr>
        <w:t>Estado de Situación Financiera Detallado - LDF</w:t>
      </w:r>
    </w:p>
    <w:p w14:paraId="77AA3568" w14:textId="77777777" w:rsidR="00042519" w:rsidRPr="006A4F83" w:rsidRDefault="00042519" w:rsidP="00C762B8">
      <w:pPr>
        <w:pStyle w:val="Prrafodelista"/>
        <w:numPr>
          <w:ilvl w:val="0"/>
          <w:numId w:val="13"/>
        </w:numPr>
        <w:spacing w:after="0" w:line="240" w:lineRule="auto"/>
        <w:ind w:left="1077" w:hanging="357"/>
        <w:rPr>
          <w:rFonts w:ascii="Arial" w:eastAsia="Times New Roman" w:hAnsi="Arial" w:cs="Arial"/>
          <w:b/>
          <w:sz w:val="16"/>
          <w:szCs w:val="16"/>
        </w:rPr>
      </w:pPr>
      <w:r w:rsidRPr="006A4F83">
        <w:rPr>
          <w:rFonts w:ascii="Arial" w:eastAsia="Times New Roman" w:hAnsi="Arial" w:cs="Arial"/>
          <w:b/>
          <w:sz w:val="16"/>
          <w:szCs w:val="16"/>
        </w:rPr>
        <w:t xml:space="preserve">Formato 2   </w:t>
      </w:r>
      <w:r w:rsidRPr="006A4F83">
        <w:rPr>
          <w:rFonts w:ascii="Arial" w:eastAsia="Times New Roman" w:hAnsi="Arial" w:cs="Arial"/>
          <w:sz w:val="16"/>
          <w:szCs w:val="16"/>
        </w:rPr>
        <w:t>Informe Analítico de la Deuda Pública y Otros Pasivos – LDF</w:t>
      </w:r>
    </w:p>
    <w:p w14:paraId="57DC6EE0" w14:textId="77777777" w:rsidR="00042519" w:rsidRPr="006A4F83" w:rsidRDefault="00042519" w:rsidP="00C762B8">
      <w:pPr>
        <w:pStyle w:val="Prrafodelista"/>
        <w:numPr>
          <w:ilvl w:val="0"/>
          <w:numId w:val="13"/>
        </w:numPr>
        <w:suppressAutoHyphens/>
        <w:spacing w:after="0" w:line="240" w:lineRule="auto"/>
        <w:ind w:left="1077" w:hanging="357"/>
        <w:jc w:val="both"/>
        <w:rPr>
          <w:rFonts w:ascii="Arial" w:eastAsia="Times New Roman" w:hAnsi="Arial" w:cs="Arial"/>
          <w:sz w:val="16"/>
          <w:szCs w:val="16"/>
        </w:rPr>
      </w:pPr>
      <w:r w:rsidRPr="006A4F83">
        <w:rPr>
          <w:rFonts w:ascii="Arial" w:eastAsia="Times New Roman" w:hAnsi="Arial" w:cs="Arial"/>
          <w:b/>
          <w:sz w:val="16"/>
          <w:szCs w:val="16"/>
        </w:rPr>
        <w:t xml:space="preserve">Formato 3  </w:t>
      </w:r>
      <w:r w:rsidRPr="006A4F83">
        <w:rPr>
          <w:rFonts w:ascii="Arial" w:eastAsia="Times New Roman" w:hAnsi="Arial" w:cs="Arial"/>
          <w:sz w:val="16"/>
          <w:szCs w:val="16"/>
        </w:rPr>
        <w:t xml:space="preserve"> Informe Analítico de Obligaciones Diferentes de Financiamientos – LDF</w:t>
      </w:r>
    </w:p>
    <w:p w14:paraId="2BDF985A" w14:textId="1CAE99C8" w:rsidR="00042519" w:rsidRPr="006A4F83" w:rsidRDefault="00042519" w:rsidP="00C762B8">
      <w:pPr>
        <w:pStyle w:val="Prrafodelista"/>
        <w:numPr>
          <w:ilvl w:val="0"/>
          <w:numId w:val="13"/>
        </w:numPr>
        <w:suppressAutoHyphens/>
        <w:spacing w:after="0" w:line="240" w:lineRule="auto"/>
        <w:ind w:left="1077" w:hanging="357"/>
        <w:jc w:val="both"/>
        <w:rPr>
          <w:rFonts w:ascii="Arial" w:eastAsia="Times New Roman" w:hAnsi="Arial" w:cs="Arial"/>
          <w:sz w:val="16"/>
          <w:szCs w:val="16"/>
        </w:rPr>
      </w:pPr>
      <w:r w:rsidRPr="006A4F83">
        <w:rPr>
          <w:rFonts w:ascii="Arial" w:eastAsia="Times New Roman" w:hAnsi="Arial" w:cs="Arial"/>
          <w:b/>
          <w:sz w:val="16"/>
          <w:szCs w:val="16"/>
        </w:rPr>
        <w:t>Formato 4</w:t>
      </w:r>
      <w:r w:rsidR="00C762B8" w:rsidRPr="006A4F83">
        <w:rPr>
          <w:rFonts w:ascii="Arial" w:eastAsia="Times New Roman" w:hAnsi="Arial" w:cs="Arial"/>
          <w:b/>
          <w:sz w:val="16"/>
          <w:szCs w:val="16"/>
        </w:rPr>
        <w:t xml:space="preserve">  </w:t>
      </w:r>
      <w:r w:rsidRPr="006A4F83">
        <w:rPr>
          <w:rFonts w:ascii="Arial" w:eastAsia="Times New Roman" w:hAnsi="Arial" w:cs="Arial"/>
          <w:sz w:val="16"/>
          <w:szCs w:val="16"/>
        </w:rPr>
        <w:t xml:space="preserve"> Balance Presupuestario – LDF</w:t>
      </w:r>
    </w:p>
    <w:p w14:paraId="45324982" w14:textId="66D9F0D5" w:rsidR="00042519" w:rsidRPr="006A4F83" w:rsidRDefault="00042519" w:rsidP="00C762B8">
      <w:pPr>
        <w:pStyle w:val="Prrafodelista"/>
        <w:numPr>
          <w:ilvl w:val="0"/>
          <w:numId w:val="13"/>
        </w:numPr>
        <w:suppressAutoHyphens/>
        <w:spacing w:after="0" w:line="240" w:lineRule="auto"/>
        <w:ind w:left="1077" w:hanging="357"/>
        <w:jc w:val="both"/>
        <w:rPr>
          <w:rFonts w:ascii="Arial" w:eastAsia="Times New Roman" w:hAnsi="Arial" w:cs="Arial"/>
          <w:sz w:val="16"/>
          <w:szCs w:val="16"/>
        </w:rPr>
      </w:pPr>
      <w:r w:rsidRPr="006A4F83">
        <w:rPr>
          <w:rFonts w:ascii="Arial" w:eastAsia="Times New Roman" w:hAnsi="Arial" w:cs="Arial"/>
          <w:b/>
          <w:sz w:val="16"/>
          <w:szCs w:val="16"/>
        </w:rPr>
        <w:t>Formato 5</w:t>
      </w:r>
      <w:r w:rsidRPr="006A4F83">
        <w:rPr>
          <w:rFonts w:ascii="Arial" w:eastAsia="Times New Roman" w:hAnsi="Arial" w:cs="Arial"/>
          <w:sz w:val="16"/>
          <w:szCs w:val="16"/>
        </w:rPr>
        <w:t xml:space="preserve"> </w:t>
      </w:r>
      <w:r w:rsidR="00C762B8" w:rsidRPr="006A4F83">
        <w:rPr>
          <w:rFonts w:ascii="Arial" w:eastAsia="Times New Roman" w:hAnsi="Arial" w:cs="Arial"/>
          <w:sz w:val="16"/>
          <w:szCs w:val="16"/>
        </w:rPr>
        <w:t xml:space="preserve">  </w:t>
      </w:r>
      <w:r w:rsidRPr="006A4F83">
        <w:rPr>
          <w:rFonts w:ascii="Arial" w:eastAsia="Times New Roman" w:hAnsi="Arial" w:cs="Arial"/>
          <w:sz w:val="16"/>
          <w:szCs w:val="16"/>
        </w:rPr>
        <w:t>Estado Analítico de Ingresos Detallado – LDF</w:t>
      </w:r>
    </w:p>
    <w:p w14:paraId="2F11613C" w14:textId="76D20C64" w:rsidR="00042519" w:rsidRPr="006A4F83" w:rsidRDefault="00042519" w:rsidP="00C762B8">
      <w:pPr>
        <w:pStyle w:val="Texto"/>
        <w:numPr>
          <w:ilvl w:val="0"/>
          <w:numId w:val="13"/>
        </w:numPr>
        <w:spacing w:after="0" w:line="240" w:lineRule="auto"/>
        <w:ind w:left="1077" w:hanging="357"/>
        <w:rPr>
          <w:b/>
          <w:sz w:val="16"/>
          <w:szCs w:val="16"/>
        </w:rPr>
      </w:pPr>
      <w:r w:rsidRPr="006A4F83">
        <w:rPr>
          <w:b/>
          <w:sz w:val="16"/>
          <w:szCs w:val="16"/>
        </w:rPr>
        <w:t xml:space="preserve">Formato 6a </w:t>
      </w:r>
      <w:r w:rsidRPr="006A4F83">
        <w:rPr>
          <w:sz w:val="16"/>
          <w:szCs w:val="16"/>
        </w:rPr>
        <w:t>Estado Analítico del Ejercicio del Presupuesto de Egresos Detallado – LDF (Clasificación por Objeto del Gasto)</w:t>
      </w:r>
    </w:p>
    <w:p w14:paraId="57632CD8" w14:textId="6D784B5B" w:rsidR="00042519" w:rsidRPr="006A4F83" w:rsidRDefault="00042519" w:rsidP="00C762B8">
      <w:pPr>
        <w:pStyle w:val="Texto"/>
        <w:numPr>
          <w:ilvl w:val="0"/>
          <w:numId w:val="13"/>
        </w:numPr>
        <w:tabs>
          <w:tab w:val="left" w:pos="1620"/>
        </w:tabs>
        <w:spacing w:line="240" w:lineRule="auto"/>
        <w:ind w:left="1077" w:hanging="357"/>
        <w:rPr>
          <w:sz w:val="16"/>
          <w:szCs w:val="16"/>
        </w:rPr>
      </w:pPr>
      <w:r w:rsidRPr="006A4F83">
        <w:rPr>
          <w:b/>
          <w:sz w:val="16"/>
          <w:szCs w:val="16"/>
        </w:rPr>
        <w:t xml:space="preserve">Formato 6b </w:t>
      </w:r>
      <w:r w:rsidRPr="006A4F83">
        <w:rPr>
          <w:sz w:val="16"/>
          <w:szCs w:val="16"/>
        </w:rPr>
        <w:t>Estado Analítico del Ejercicio del Presupuesto de Egresos Detallado – LDF (Clasificación Administrativa)</w:t>
      </w:r>
    </w:p>
    <w:p w14:paraId="5AADDB2B" w14:textId="4BC4FAFD" w:rsidR="00042519" w:rsidRPr="006A4F83" w:rsidRDefault="00042519" w:rsidP="00C762B8">
      <w:pPr>
        <w:pStyle w:val="Texto"/>
        <w:numPr>
          <w:ilvl w:val="0"/>
          <w:numId w:val="13"/>
        </w:numPr>
        <w:spacing w:line="240" w:lineRule="auto"/>
        <w:ind w:left="1077" w:hanging="357"/>
        <w:rPr>
          <w:b/>
          <w:sz w:val="16"/>
          <w:szCs w:val="16"/>
        </w:rPr>
      </w:pPr>
      <w:r w:rsidRPr="006A4F83">
        <w:rPr>
          <w:b/>
          <w:sz w:val="16"/>
          <w:szCs w:val="16"/>
        </w:rPr>
        <w:t xml:space="preserve">Formato 6c </w:t>
      </w:r>
      <w:r w:rsidRPr="006A4F83">
        <w:rPr>
          <w:sz w:val="16"/>
          <w:szCs w:val="16"/>
        </w:rPr>
        <w:t>Estado Analítico del Ejercicio del Presupuesto de Egresos Detallado – LDF (Clasificación Funcional)</w:t>
      </w:r>
    </w:p>
    <w:p w14:paraId="30F8B191" w14:textId="7E37D8A5" w:rsidR="00C762B8" w:rsidRPr="006A4F83" w:rsidRDefault="00042519" w:rsidP="00C762B8">
      <w:pPr>
        <w:pStyle w:val="Texto"/>
        <w:numPr>
          <w:ilvl w:val="0"/>
          <w:numId w:val="13"/>
        </w:numPr>
        <w:tabs>
          <w:tab w:val="left" w:pos="1530"/>
        </w:tabs>
        <w:spacing w:line="288" w:lineRule="auto"/>
        <w:ind w:left="1077" w:hanging="357"/>
        <w:rPr>
          <w:rFonts w:cs="Times New Roman"/>
          <w:szCs w:val="18"/>
          <w:lang w:eastAsia="hi-IN"/>
        </w:rPr>
      </w:pPr>
      <w:r w:rsidRPr="006A4F83">
        <w:rPr>
          <w:b/>
          <w:sz w:val="16"/>
          <w:szCs w:val="16"/>
        </w:rPr>
        <w:t xml:space="preserve">Formato 6d </w:t>
      </w:r>
      <w:r w:rsidRPr="006A4F83">
        <w:rPr>
          <w:sz w:val="16"/>
          <w:szCs w:val="16"/>
        </w:rPr>
        <w:t>Estado Analítico del Ejercicio del Presupuesto de Egresos Detallado – LDF (Clasificación de Servicios Personales por Categoría)</w:t>
      </w:r>
      <w:r w:rsidR="00C762B8" w:rsidRPr="006A4F83">
        <w:rPr>
          <w:rFonts w:cs="Times New Roman"/>
          <w:szCs w:val="18"/>
          <w:lang w:eastAsia="hi-IN"/>
        </w:rPr>
        <w:t xml:space="preserve">  </w:t>
      </w:r>
    </w:p>
    <w:sectPr w:rsidR="00C762B8" w:rsidRPr="006A4F83" w:rsidSect="008B6826">
      <w:headerReference w:type="even" r:id="rId8"/>
      <w:headerReference w:type="default" r:id="rId9"/>
      <w:footerReference w:type="even" r:id="rId10"/>
      <w:footerReference w:type="default" r:id="rId11"/>
      <w:pgSz w:w="15840" w:h="12240" w:orient="landscape"/>
      <w:pgMar w:top="1440" w:right="1021" w:bottom="1440"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07D42" w14:textId="77777777" w:rsidR="008F204E" w:rsidRDefault="008F204E" w:rsidP="00EA5418">
      <w:pPr>
        <w:spacing w:after="0" w:line="240" w:lineRule="auto"/>
      </w:pPr>
      <w:r>
        <w:separator/>
      </w:r>
    </w:p>
  </w:endnote>
  <w:endnote w:type="continuationSeparator" w:id="0">
    <w:p w14:paraId="6D95DEF9" w14:textId="77777777" w:rsidR="008F204E" w:rsidRDefault="008F204E"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2F44E" w14:textId="5724075D" w:rsidR="0013011C" w:rsidRPr="0013011C" w:rsidRDefault="008F204E" w:rsidP="0013011C">
    <w:pPr>
      <w:pStyle w:val="Piedepgina"/>
      <w:jc w:val="center"/>
      <w:rPr>
        <w:rFonts w:ascii="Soberana Sans Light" w:hAnsi="Soberana Sans Light"/>
      </w:rPr>
    </w:pPr>
    <w:r>
      <w:rPr>
        <w:rFonts w:ascii="Soberana Sans Light" w:hAnsi="Soberana Sans Light"/>
        <w:noProof/>
        <w:lang w:eastAsia="es-MX"/>
      </w:rPr>
      <w:pict w14:anchorId="20EE057A">
        <v:line id="12 Conector recto" o:spid="_x0000_s1026" style="position:absolute;left:0;text-align:left;flip:y;z-index:251667456;visibility:visible;mso-width-relative:margin" from="-51.55pt,-2.8pt" to="742.45pt,-1.5pt" strokecolor="#7d3c4a [3209]" strokeweight="1.5pt"/>
      </w:pic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A516D8" w:rsidRPr="0013011C">
          <w:rPr>
            <w:rFonts w:ascii="Soberana Sans Light" w:hAnsi="Soberana Sans Light"/>
          </w:rPr>
          <w:fldChar w:fldCharType="begin"/>
        </w:r>
        <w:r w:rsidR="0013011C" w:rsidRPr="0013011C">
          <w:rPr>
            <w:rFonts w:ascii="Soberana Sans Light" w:hAnsi="Soberana Sans Light"/>
          </w:rPr>
          <w:instrText>PAGE   \* MERGEFORMAT</w:instrText>
        </w:r>
        <w:r w:rsidR="00A516D8" w:rsidRPr="0013011C">
          <w:rPr>
            <w:rFonts w:ascii="Soberana Sans Light" w:hAnsi="Soberana Sans Light"/>
          </w:rPr>
          <w:fldChar w:fldCharType="separate"/>
        </w:r>
        <w:r w:rsidR="006A4F83" w:rsidRPr="006A4F83">
          <w:rPr>
            <w:rFonts w:ascii="Soberana Sans Light" w:hAnsi="Soberana Sans Light"/>
            <w:noProof/>
            <w:lang w:val="es-ES"/>
          </w:rPr>
          <w:t>4</w:t>
        </w:r>
        <w:r w:rsidR="00A516D8" w:rsidRPr="0013011C">
          <w:rPr>
            <w:rFonts w:ascii="Soberana Sans Light" w:hAnsi="Soberana Sans Light"/>
          </w:rPr>
          <w:fldChar w:fldCharType="end"/>
        </w:r>
      </w:sdtContent>
    </w:sdt>
  </w:p>
  <w:p w14:paraId="27332855"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9C3BD" w14:textId="211E9BEB" w:rsidR="008E3652" w:rsidRPr="008E3652" w:rsidRDefault="008F204E" w:rsidP="008E3652">
    <w:pPr>
      <w:pStyle w:val="Piedepgina"/>
      <w:jc w:val="center"/>
      <w:rPr>
        <w:rFonts w:ascii="Soberana Sans Light" w:hAnsi="Soberana Sans Light"/>
      </w:rPr>
    </w:pPr>
    <w:r>
      <w:rPr>
        <w:rFonts w:ascii="Soberana Sans Light" w:hAnsi="Soberana Sans Light"/>
        <w:noProof/>
        <w:lang w:eastAsia="es-MX"/>
      </w:rPr>
      <w:pict w14:anchorId="6654EB97">
        <v:line id="3 Conector recto" o:spid="_x0000_s1025" style="position:absolute;left:0;text-align:left;flip:y;z-index:251661312;visibility:visible;mso-width-relative:margin" from="-56.25pt,-.7pt" to="737.8pt,.6pt" strokecolor="#6c0f13 [1605]" strokeweight="1.5pt"/>
      </w:pic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A516D8" w:rsidRPr="008E3652">
          <w:rPr>
            <w:rFonts w:ascii="Soberana Sans Light" w:hAnsi="Soberana Sans Light"/>
          </w:rPr>
          <w:fldChar w:fldCharType="begin"/>
        </w:r>
        <w:r w:rsidR="008E3652" w:rsidRPr="008E3652">
          <w:rPr>
            <w:rFonts w:ascii="Soberana Sans Light" w:hAnsi="Soberana Sans Light"/>
          </w:rPr>
          <w:instrText>PAGE   \* MERGEFORMAT</w:instrText>
        </w:r>
        <w:r w:rsidR="00A516D8" w:rsidRPr="008E3652">
          <w:rPr>
            <w:rFonts w:ascii="Soberana Sans Light" w:hAnsi="Soberana Sans Light"/>
          </w:rPr>
          <w:fldChar w:fldCharType="separate"/>
        </w:r>
        <w:r w:rsidR="006A4F83" w:rsidRPr="006A4F83">
          <w:rPr>
            <w:rFonts w:ascii="Soberana Sans Light" w:hAnsi="Soberana Sans Light"/>
            <w:noProof/>
            <w:lang w:val="es-ES"/>
          </w:rPr>
          <w:t>3</w:t>
        </w:r>
        <w:r w:rsidR="00A516D8"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3CA0B" w14:textId="77777777" w:rsidR="008F204E" w:rsidRDefault="008F204E" w:rsidP="00EA5418">
      <w:pPr>
        <w:spacing w:after="0" w:line="240" w:lineRule="auto"/>
      </w:pPr>
      <w:r>
        <w:separator/>
      </w:r>
    </w:p>
  </w:footnote>
  <w:footnote w:type="continuationSeparator" w:id="0">
    <w:p w14:paraId="25692F6B" w14:textId="77777777" w:rsidR="008F204E" w:rsidRDefault="008F204E"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3D436" w14:textId="77777777" w:rsidR="0013011C" w:rsidRDefault="008F204E">
    <w:pPr>
      <w:pStyle w:val="Encabezado"/>
    </w:pPr>
    <w:r>
      <w:rPr>
        <w:noProof/>
        <w:lang w:eastAsia="es-MX"/>
      </w:rPr>
      <w:pict w14:anchorId="6C5AC7DA">
        <v:group id="6 Grupo" o:spid="_x0000_s1029"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33" type="#_x0000_t202" style="position:absolute;left:-3372;top:73;width:26262;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style="mso-next-textbox:#Cuadro de texto 5">
              <w:txbxContent>
                <w:p w14:paraId="62DEEAA0"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CDBF61C"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3D7D5EEC"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30"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2"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1031"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14:paraId="1B18C86A" w14:textId="07DC776E"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081D79">
                      <w:rPr>
                        <w:rFonts w:ascii="Soberana Titular" w:hAnsi="Soberana Titular" w:cs="Arial"/>
                        <w:color w:val="808080" w:themeColor="background1" w:themeShade="80"/>
                        <w:sz w:val="42"/>
                        <w:szCs w:val="42"/>
                      </w:rPr>
                      <w:t>21</w:t>
                    </w:r>
                  </w:p>
                  <w:p w14:paraId="20CD47A7"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E428D88"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w14:anchorId="71B1DECB">
        <v:line id="4 Conector recto" o:spid="_x0000_s1028" style="position:absolute;flip:y;z-index:251663360;visibility:visible;mso-width-relative:margin" from="-57.75pt,25.2pt" to="736.25pt,26.5pt" strokecolor="#7d3c4a [3209]" strokeweight="1.5p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5D78E" w14:textId="77777777" w:rsidR="008E3652" w:rsidRPr="0013011C" w:rsidRDefault="008F204E" w:rsidP="0013011C">
    <w:pPr>
      <w:pStyle w:val="Encabezado"/>
      <w:jc w:val="center"/>
      <w:rPr>
        <w:rFonts w:ascii="Soberana Sans Light" w:hAnsi="Soberana Sans Light"/>
      </w:rPr>
    </w:pPr>
    <w:r>
      <w:rPr>
        <w:rFonts w:ascii="Soberana Sans Light" w:hAnsi="Soberana Sans Light"/>
        <w:noProof/>
        <w:lang w:eastAsia="es-MX"/>
      </w:rPr>
      <w:pict w14:anchorId="4FBD0177">
        <v:line id="1 Conector recto" o:spid="_x0000_s1027" style="position:absolute;left:0;text-align:left;flip:y;z-index:251659264;visibility:visible;mso-width-relative:margin" from="-56.05pt,14.2pt" to="738pt,15.5pt" strokecolor="#6c0f13 [1605]" strokeweight="1.5pt"/>
      </w:pict>
    </w:r>
    <w:r w:rsidR="006B729B">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797"/>
    <w:multiLevelType w:val="hybridMultilevel"/>
    <w:tmpl w:val="59965ED4"/>
    <w:lvl w:ilvl="0" w:tplc="FC307EE6">
      <w:start w:val="1"/>
      <w:numFmt w:val="lowerLetter"/>
      <w:lvlText w:val="%1)"/>
      <w:lvlJc w:val="left"/>
      <w:pPr>
        <w:ind w:left="644"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79C1244"/>
    <w:multiLevelType w:val="hybridMultilevel"/>
    <w:tmpl w:val="CB18D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151039F8"/>
    <w:multiLevelType w:val="hybridMultilevel"/>
    <w:tmpl w:val="F86E23B4"/>
    <w:lvl w:ilvl="0" w:tplc="A43C0EA4">
      <w:start w:val="1"/>
      <w:numFmt w:val="upperRoman"/>
      <w:lvlText w:val="%1)"/>
      <w:lvlJc w:val="left"/>
      <w:pPr>
        <w:ind w:left="2160" w:hanging="720"/>
      </w:pPr>
      <w:rPr>
        <w:rFonts w:hint="default"/>
        <w:b w:val="0"/>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5" w15:restartNumberingAfterBreak="0">
    <w:nsid w:val="1F4432A1"/>
    <w:multiLevelType w:val="hybridMultilevel"/>
    <w:tmpl w:val="7442833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5F63DF"/>
    <w:multiLevelType w:val="hybridMultilevel"/>
    <w:tmpl w:val="D090B5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07A736E"/>
    <w:multiLevelType w:val="hybridMultilevel"/>
    <w:tmpl w:val="332A2ED6"/>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316C3A9A"/>
    <w:multiLevelType w:val="hybridMultilevel"/>
    <w:tmpl w:val="B24E07E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354250FA"/>
    <w:multiLevelType w:val="hybridMultilevel"/>
    <w:tmpl w:val="BA0850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42DB140A"/>
    <w:multiLevelType w:val="hybridMultilevel"/>
    <w:tmpl w:val="A950EB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33A5961"/>
    <w:multiLevelType w:val="hybridMultilevel"/>
    <w:tmpl w:val="A45E42F8"/>
    <w:lvl w:ilvl="0" w:tplc="B98E028A">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15:restartNumberingAfterBreak="0">
    <w:nsid w:val="44D969E5"/>
    <w:multiLevelType w:val="hybridMultilevel"/>
    <w:tmpl w:val="476683BC"/>
    <w:lvl w:ilvl="0" w:tplc="1090D708">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4D977253"/>
    <w:multiLevelType w:val="hybridMultilevel"/>
    <w:tmpl w:val="0136DE9E"/>
    <w:lvl w:ilvl="0" w:tplc="3F76EDA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523178CA"/>
    <w:multiLevelType w:val="hybridMultilevel"/>
    <w:tmpl w:val="2D0A66CA"/>
    <w:lvl w:ilvl="0" w:tplc="A9581064">
      <w:start w:val="1"/>
      <w:numFmt w:val="upperRoman"/>
      <w:lvlText w:val="%1)"/>
      <w:lvlJc w:val="left"/>
      <w:pPr>
        <w:ind w:left="1440" w:hanging="72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59D91D32"/>
    <w:multiLevelType w:val="hybridMultilevel"/>
    <w:tmpl w:val="C428B450"/>
    <w:lvl w:ilvl="0" w:tplc="1090D708">
      <w:start w:val="1"/>
      <w:numFmt w:val="lowerLetter"/>
      <w:lvlText w:val="%1)"/>
      <w:lvlJc w:val="left"/>
      <w:pPr>
        <w:ind w:left="107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5BE70458"/>
    <w:multiLevelType w:val="hybridMultilevel"/>
    <w:tmpl w:val="CAD87ED8"/>
    <w:lvl w:ilvl="0" w:tplc="1090D708">
      <w:start w:val="1"/>
      <w:numFmt w:val="lowerLetter"/>
      <w:lvlText w:val="%1)"/>
      <w:lvlJc w:val="left"/>
      <w:pPr>
        <w:ind w:left="1440" w:hanging="360"/>
      </w:pPr>
      <w:rPr>
        <w:rFonts w:hint="default"/>
        <w:b/>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19" w15:restartNumberingAfterBreak="0">
    <w:nsid w:val="61F52FB6"/>
    <w:multiLevelType w:val="hybridMultilevel"/>
    <w:tmpl w:val="40B243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C5E24FE"/>
    <w:multiLevelType w:val="hybridMultilevel"/>
    <w:tmpl w:val="6EFEA2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1116FB0"/>
    <w:multiLevelType w:val="hybridMultilevel"/>
    <w:tmpl w:val="B336B5E6"/>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15:restartNumberingAfterBreak="0">
    <w:nsid w:val="78397A51"/>
    <w:multiLevelType w:val="hybridMultilevel"/>
    <w:tmpl w:val="AB9C07E0"/>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23" w15:restartNumberingAfterBreak="0">
    <w:nsid w:val="79BA26F3"/>
    <w:multiLevelType w:val="hybridMultilevel"/>
    <w:tmpl w:val="A9048B96"/>
    <w:lvl w:ilvl="0" w:tplc="1696012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
  </w:num>
  <w:num w:numId="2">
    <w:abstractNumId w:val="3"/>
  </w:num>
  <w:num w:numId="3">
    <w:abstractNumId w:val="11"/>
  </w:num>
  <w:num w:numId="4">
    <w:abstractNumId w:val="7"/>
  </w:num>
  <w:num w:numId="5">
    <w:abstractNumId w:val="6"/>
  </w:num>
  <w:num w:numId="6">
    <w:abstractNumId w:val="15"/>
  </w:num>
  <w:num w:numId="7">
    <w:abstractNumId w:val="23"/>
  </w:num>
  <w:num w:numId="8">
    <w:abstractNumId w:val="17"/>
  </w:num>
  <w:num w:numId="9">
    <w:abstractNumId w:val="12"/>
  </w:num>
  <w:num w:numId="10">
    <w:abstractNumId w:val="0"/>
  </w:num>
  <w:num w:numId="11">
    <w:abstractNumId w:val="8"/>
  </w:num>
  <w:num w:numId="12">
    <w:abstractNumId w:val="4"/>
  </w:num>
  <w:num w:numId="13">
    <w:abstractNumId w:val="13"/>
  </w:num>
  <w:num w:numId="14">
    <w:abstractNumId w:val="16"/>
  </w:num>
  <w:num w:numId="15">
    <w:abstractNumId w:val="19"/>
  </w:num>
  <w:num w:numId="16">
    <w:abstractNumId w:val="14"/>
  </w:num>
  <w:num w:numId="17">
    <w:abstractNumId w:val="22"/>
  </w:num>
  <w:num w:numId="18">
    <w:abstractNumId w:val="18"/>
  </w:num>
  <w:num w:numId="19">
    <w:abstractNumId w:val="10"/>
  </w:num>
  <w:num w:numId="20">
    <w:abstractNumId w:val="20"/>
  </w:num>
  <w:num w:numId="21">
    <w:abstractNumId w:val="2"/>
  </w:num>
  <w:num w:numId="22">
    <w:abstractNumId w:val="21"/>
  </w:num>
  <w:num w:numId="23">
    <w:abstractNumId w:val="9"/>
    <w:lvlOverride w:ilvl="0"/>
    <w:lvlOverride w:ilvl="1"/>
    <w:lvlOverride w:ilvl="2"/>
    <w:lvlOverride w:ilvl="3"/>
    <w:lvlOverride w:ilvl="4"/>
    <w:lvlOverride w:ilvl="5"/>
    <w:lvlOverride w:ilvl="6"/>
    <w:lvlOverride w:ilvl="7"/>
    <w:lvlOverride w:ilvl="8"/>
  </w:num>
  <w:num w:numId="24">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418"/>
    <w:rsid w:val="00040466"/>
    <w:rsid w:val="00042519"/>
    <w:rsid w:val="000454EA"/>
    <w:rsid w:val="00056042"/>
    <w:rsid w:val="00067787"/>
    <w:rsid w:val="00075F11"/>
    <w:rsid w:val="00076A56"/>
    <w:rsid w:val="00081D79"/>
    <w:rsid w:val="000A2A48"/>
    <w:rsid w:val="000B3FD4"/>
    <w:rsid w:val="000F6D16"/>
    <w:rsid w:val="00101C5D"/>
    <w:rsid w:val="001137E3"/>
    <w:rsid w:val="0013011C"/>
    <w:rsid w:val="00146E12"/>
    <w:rsid w:val="001646D9"/>
    <w:rsid w:val="00174F20"/>
    <w:rsid w:val="00183FBE"/>
    <w:rsid w:val="00196D0F"/>
    <w:rsid w:val="001A2431"/>
    <w:rsid w:val="001B1B72"/>
    <w:rsid w:val="001F7AA6"/>
    <w:rsid w:val="0020797E"/>
    <w:rsid w:val="002549E7"/>
    <w:rsid w:val="002865A7"/>
    <w:rsid w:val="002A6835"/>
    <w:rsid w:val="002A70B3"/>
    <w:rsid w:val="002D4C8A"/>
    <w:rsid w:val="002E06B4"/>
    <w:rsid w:val="002E5897"/>
    <w:rsid w:val="002F2773"/>
    <w:rsid w:val="00307635"/>
    <w:rsid w:val="0032095C"/>
    <w:rsid w:val="00322A09"/>
    <w:rsid w:val="00355821"/>
    <w:rsid w:val="003575A4"/>
    <w:rsid w:val="003610E0"/>
    <w:rsid w:val="00372F40"/>
    <w:rsid w:val="003D5DBF"/>
    <w:rsid w:val="003E7FD0"/>
    <w:rsid w:val="003F05C2"/>
    <w:rsid w:val="004137E3"/>
    <w:rsid w:val="0044253C"/>
    <w:rsid w:val="00486AE1"/>
    <w:rsid w:val="00497D8B"/>
    <w:rsid w:val="004D0129"/>
    <w:rsid w:val="004D41B8"/>
    <w:rsid w:val="00502D8E"/>
    <w:rsid w:val="005117F4"/>
    <w:rsid w:val="00522632"/>
    <w:rsid w:val="00531310"/>
    <w:rsid w:val="00534982"/>
    <w:rsid w:val="00537B1A"/>
    <w:rsid w:val="00540418"/>
    <w:rsid w:val="00582405"/>
    <w:rsid w:val="005852BC"/>
    <w:rsid w:val="005859FA"/>
    <w:rsid w:val="00597742"/>
    <w:rsid w:val="005E2EB5"/>
    <w:rsid w:val="005F103E"/>
    <w:rsid w:val="005F7589"/>
    <w:rsid w:val="006048D2"/>
    <w:rsid w:val="00611E39"/>
    <w:rsid w:val="00623300"/>
    <w:rsid w:val="006458E9"/>
    <w:rsid w:val="006A4F83"/>
    <w:rsid w:val="006B729B"/>
    <w:rsid w:val="006D291A"/>
    <w:rsid w:val="006E6B8E"/>
    <w:rsid w:val="006E77DD"/>
    <w:rsid w:val="00731430"/>
    <w:rsid w:val="00742E35"/>
    <w:rsid w:val="00746D9B"/>
    <w:rsid w:val="0079582C"/>
    <w:rsid w:val="007D6E9A"/>
    <w:rsid w:val="0082753C"/>
    <w:rsid w:val="0082761D"/>
    <w:rsid w:val="0082781F"/>
    <w:rsid w:val="00850E90"/>
    <w:rsid w:val="00897D42"/>
    <w:rsid w:val="00897F46"/>
    <w:rsid w:val="008A6E4D"/>
    <w:rsid w:val="008B0017"/>
    <w:rsid w:val="008B6826"/>
    <w:rsid w:val="008C5A3B"/>
    <w:rsid w:val="008D4272"/>
    <w:rsid w:val="008E3652"/>
    <w:rsid w:val="008F204E"/>
    <w:rsid w:val="00911EF6"/>
    <w:rsid w:val="009E16FC"/>
    <w:rsid w:val="009E5258"/>
    <w:rsid w:val="009F62E7"/>
    <w:rsid w:val="00A14B74"/>
    <w:rsid w:val="00A516D8"/>
    <w:rsid w:val="00A8165C"/>
    <w:rsid w:val="00AB13B7"/>
    <w:rsid w:val="00AC1FDF"/>
    <w:rsid w:val="00AC7243"/>
    <w:rsid w:val="00AD70F5"/>
    <w:rsid w:val="00AD791F"/>
    <w:rsid w:val="00AE642C"/>
    <w:rsid w:val="00B166A9"/>
    <w:rsid w:val="00B17423"/>
    <w:rsid w:val="00B372A2"/>
    <w:rsid w:val="00B42A02"/>
    <w:rsid w:val="00B43C7F"/>
    <w:rsid w:val="00B56B2B"/>
    <w:rsid w:val="00B716BE"/>
    <w:rsid w:val="00B844F0"/>
    <w:rsid w:val="00B849EE"/>
    <w:rsid w:val="00B96907"/>
    <w:rsid w:val="00BD6A5B"/>
    <w:rsid w:val="00BF28A4"/>
    <w:rsid w:val="00C33401"/>
    <w:rsid w:val="00C44F01"/>
    <w:rsid w:val="00C762B8"/>
    <w:rsid w:val="00C85A3B"/>
    <w:rsid w:val="00CA2D37"/>
    <w:rsid w:val="00CB42AC"/>
    <w:rsid w:val="00CC5CB6"/>
    <w:rsid w:val="00D02A82"/>
    <w:rsid w:val="00D055EC"/>
    <w:rsid w:val="00D404ED"/>
    <w:rsid w:val="00D51261"/>
    <w:rsid w:val="00D5675C"/>
    <w:rsid w:val="00D748D3"/>
    <w:rsid w:val="00D75A56"/>
    <w:rsid w:val="00D848D7"/>
    <w:rsid w:val="00DD230F"/>
    <w:rsid w:val="00DE728C"/>
    <w:rsid w:val="00E32708"/>
    <w:rsid w:val="00E45FD0"/>
    <w:rsid w:val="00E81959"/>
    <w:rsid w:val="00EA5418"/>
    <w:rsid w:val="00EB215E"/>
    <w:rsid w:val="00ED65D7"/>
    <w:rsid w:val="00F474E9"/>
    <w:rsid w:val="00F745E7"/>
    <w:rsid w:val="00F96944"/>
    <w:rsid w:val="00FA3FB9"/>
    <w:rsid w:val="00FA5247"/>
    <w:rsid w:val="00FB24F8"/>
    <w:rsid w:val="00FF41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FF203"/>
  <w15:docId w15:val="{4035D058-9DAD-4E6C-BE51-25B63B811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FB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Default">
    <w:name w:val="Default"/>
    <w:rsid w:val="00196D0F"/>
    <w:pPr>
      <w:autoSpaceDE w:val="0"/>
      <w:autoSpaceDN w:val="0"/>
      <w:adjustRightInd w:val="0"/>
      <w:spacing w:after="0" w:line="240" w:lineRule="auto"/>
    </w:pPr>
    <w:rPr>
      <w:rFonts w:ascii="Arial" w:hAnsi="Arial" w:cs="Arial"/>
      <w:color w:val="000000"/>
      <w:sz w:val="24"/>
      <w:szCs w:val="24"/>
      <w:lang w:val="es-ES"/>
    </w:rPr>
  </w:style>
  <w:style w:type="table" w:styleId="Tablaconcuadrcula">
    <w:name w:val="Table Grid"/>
    <w:basedOn w:val="Tablanormal"/>
    <w:uiPriority w:val="59"/>
    <w:rsid w:val="00196D0F"/>
    <w:pPr>
      <w:spacing w:after="0" w:line="240" w:lineRule="auto"/>
    </w:pPr>
    <w:rPr>
      <w:rFonts w:eastAsia="Batang"/>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FF41A1"/>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35169">
      <w:bodyDiv w:val="1"/>
      <w:marLeft w:val="0"/>
      <w:marRight w:val="0"/>
      <w:marTop w:val="0"/>
      <w:marBottom w:val="0"/>
      <w:divBdr>
        <w:top w:val="none" w:sz="0" w:space="0" w:color="auto"/>
        <w:left w:val="none" w:sz="0" w:space="0" w:color="auto"/>
        <w:bottom w:val="none" w:sz="0" w:space="0" w:color="auto"/>
        <w:right w:val="none" w:sz="0" w:space="0" w:color="auto"/>
      </w:divBdr>
    </w:div>
    <w:div w:id="208686187">
      <w:bodyDiv w:val="1"/>
      <w:marLeft w:val="0"/>
      <w:marRight w:val="0"/>
      <w:marTop w:val="0"/>
      <w:marBottom w:val="0"/>
      <w:divBdr>
        <w:top w:val="none" w:sz="0" w:space="0" w:color="auto"/>
        <w:left w:val="none" w:sz="0" w:space="0" w:color="auto"/>
        <w:bottom w:val="none" w:sz="0" w:space="0" w:color="auto"/>
        <w:right w:val="none" w:sz="0" w:space="0" w:color="auto"/>
      </w:divBdr>
    </w:div>
    <w:div w:id="536939048">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1354188826">
      <w:bodyDiv w:val="1"/>
      <w:marLeft w:val="0"/>
      <w:marRight w:val="0"/>
      <w:marTop w:val="0"/>
      <w:marBottom w:val="0"/>
      <w:divBdr>
        <w:top w:val="none" w:sz="0" w:space="0" w:color="auto"/>
        <w:left w:val="none" w:sz="0" w:space="0" w:color="auto"/>
        <w:bottom w:val="none" w:sz="0" w:space="0" w:color="auto"/>
        <w:right w:val="none" w:sz="0" w:space="0" w:color="auto"/>
      </w:divBdr>
    </w:div>
    <w:div w:id="1702244150">
      <w:bodyDiv w:val="1"/>
      <w:marLeft w:val="0"/>
      <w:marRight w:val="0"/>
      <w:marTop w:val="0"/>
      <w:marBottom w:val="0"/>
      <w:divBdr>
        <w:top w:val="none" w:sz="0" w:space="0" w:color="auto"/>
        <w:left w:val="none" w:sz="0" w:space="0" w:color="auto"/>
        <w:bottom w:val="none" w:sz="0" w:space="0" w:color="auto"/>
        <w:right w:val="none" w:sz="0" w:space="0" w:color="auto"/>
      </w:divBdr>
    </w:div>
    <w:div w:id="1860704902">
      <w:bodyDiv w:val="1"/>
      <w:marLeft w:val="0"/>
      <w:marRight w:val="0"/>
      <w:marTop w:val="0"/>
      <w:marBottom w:val="0"/>
      <w:divBdr>
        <w:top w:val="none" w:sz="0" w:space="0" w:color="auto"/>
        <w:left w:val="none" w:sz="0" w:space="0" w:color="auto"/>
        <w:bottom w:val="none" w:sz="0" w:space="0" w:color="auto"/>
        <w:right w:val="none" w:sz="0" w:space="0" w:color="auto"/>
      </w:divBdr>
    </w:div>
    <w:div w:id="195004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Concurrencia">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A7579-6C28-463C-BB6C-28748AAA1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4</Pages>
  <Words>1519</Words>
  <Characters>8360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Fomtlax-Cont01</cp:lastModifiedBy>
  <cp:revision>47</cp:revision>
  <cp:lastPrinted>2021-10-06T19:07:00Z</cp:lastPrinted>
  <dcterms:created xsi:type="dcterms:W3CDTF">2014-09-01T14:30:00Z</dcterms:created>
  <dcterms:modified xsi:type="dcterms:W3CDTF">2021-12-30T20:58:00Z</dcterms:modified>
</cp:coreProperties>
</file>