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77777777"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14:paraId="6D422B7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14:paraId="1E89B67E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Director de Planeación Educativa de la Secretaría de Educación Pública en el Estado, quien fungirá como </w:t>
      </w:r>
      <w:r w:rsidR="008C4951">
        <w:rPr>
          <w:rFonts w:ascii="Arial" w:hAnsi="Arial" w:cs="Arial"/>
          <w:sz w:val="18"/>
          <w:szCs w:val="18"/>
        </w:rPr>
        <w:t>secretario</w:t>
      </w:r>
      <w:r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14:paraId="4D22CF89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4DA7D8E7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Informar al Ejecutivo Estatal sobre el cumplimiento de la normatividad general en materia de capacitación y proponer reformas o modificaciones; y</w:t>
      </w:r>
    </w:p>
    <w:p w14:paraId="4D619681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77777777"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08FD894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14:paraId="197482C1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5C8E98D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6AFA25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14:paraId="270B2EB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14:paraId="3C624604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por Clasificación Administrativa.</w:t>
      </w:r>
    </w:p>
    <w:p w14:paraId="1F0EE9F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14:paraId="1A330420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lastRenderedPageBreak/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14:paraId="363ED96E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14:paraId="28452103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14:paraId="2A7EB459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0ADF19AA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BE84FCC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A4A1210" w14:textId="2EF13727"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927F06">
        <w:rPr>
          <w:rFonts w:ascii="Arial" w:hAnsi="Arial" w:cs="Arial"/>
          <w:sz w:val="18"/>
          <w:szCs w:val="18"/>
        </w:rPr>
        <w:t xml:space="preserve">del </w:t>
      </w:r>
      <w:r w:rsidR="003D17DF">
        <w:rPr>
          <w:rFonts w:ascii="Arial" w:hAnsi="Arial" w:cs="Arial"/>
          <w:sz w:val="18"/>
          <w:szCs w:val="18"/>
        </w:rPr>
        <w:t>Cuarto</w:t>
      </w:r>
      <w:r w:rsidR="00927F06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</w:t>
      </w:r>
      <w:r w:rsidR="00932EA2">
        <w:rPr>
          <w:rFonts w:ascii="Arial" w:hAnsi="Arial" w:cs="Arial"/>
          <w:sz w:val="18"/>
          <w:szCs w:val="18"/>
        </w:rPr>
        <w:t>2</w:t>
      </w:r>
      <w:r w:rsidR="00A37C52">
        <w:rPr>
          <w:rFonts w:ascii="Arial" w:hAnsi="Arial" w:cs="Arial"/>
          <w:sz w:val="18"/>
          <w:szCs w:val="18"/>
        </w:rPr>
        <w:t>1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14:paraId="46B5A256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2A1A1C1F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2021 será de $79,348,322.00 moneda nacional.</w:t>
      </w:r>
    </w:p>
    <w:p w14:paraId="3E01B115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0D0CB79" w14:textId="41218540" w:rsidR="00671C27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932EA2">
        <w:rPr>
          <w:rFonts w:ascii="Arial" w:hAnsi="Arial" w:cs="Arial"/>
          <w:sz w:val="18"/>
          <w:szCs w:val="18"/>
        </w:rPr>
        <w:t xml:space="preserve">concurso anual de gastronomía que se </w:t>
      </w:r>
      <w:r w:rsidR="008C4951">
        <w:rPr>
          <w:rFonts w:ascii="Arial" w:hAnsi="Arial" w:cs="Arial"/>
          <w:sz w:val="18"/>
          <w:szCs w:val="18"/>
        </w:rPr>
        <w:t xml:space="preserve">iba a </w:t>
      </w:r>
      <w:r w:rsidR="00932EA2">
        <w:rPr>
          <w:rFonts w:ascii="Arial" w:hAnsi="Arial" w:cs="Arial"/>
          <w:sz w:val="18"/>
          <w:szCs w:val="18"/>
        </w:rPr>
        <w:t>celebrar en e</w:t>
      </w:r>
      <w:r w:rsidR="003D17DF">
        <w:rPr>
          <w:rFonts w:ascii="Arial" w:hAnsi="Arial" w:cs="Arial"/>
          <w:sz w:val="18"/>
          <w:szCs w:val="18"/>
        </w:rPr>
        <w:t xml:space="preserve">ste </w:t>
      </w:r>
      <w:r w:rsidR="00A37C52">
        <w:rPr>
          <w:rFonts w:ascii="Arial" w:hAnsi="Arial" w:cs="Arial"/>
          <w:sz w:val="18"/>
          <w:szCs w:val="18"/>
        </w:rPr>
        <w:t>año</w:t>
      </w:r>
      <w:r w:rsidR="005B78F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se </w:t>
      </w:r>
      <w:r w:rsidR="00A37C52">
        <w:rPr>
          <w:rFonts w:ascii="Arial" w:hAnsi="Arial" w:cs="Arial"/>
          <w:sz w:val="18"/>
          <w:szCs w:val="18"/>
        </w:rPr>
        <w:t>ha pospuesto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5B78F0">
        <w:rPr>
          <w:rFonts w:ascii="Arial" w:hAnsi="Arial" w:cs="Arial"/>
          <w:sz w:val="18"/>
          <w:szCs w:val="18"/>
        </w:rPr>
        <w:t xml:space="preserve">por la situación que está enfrentando el país por la pandemia, </w:t>
      </w:r>
      <w:r w:rsidR="008C4951">
        <w:rPr>
          <w:rFonts w:ascii="Arial" w:hAnsi="Arial" w:cs="Arial"/>
          <w:sz w:val="18"/>
          <w:szCs w:val="18"/>
        </w:rPr>
        <w:t xml:space="preserve">para realizarlo </w:t>
      </w:r>
      <w:r w:rsidR="00A37C52">
        <w:rPr>
          <w:rFonts w:ascii="Arial" w:hAnsi="Arial" w:cs="Arial"/>
          <w:sz w:val="18"/>
          <w:szCs w:val="18"/>
        </w:rPr>
        <w:t xml:space="preserve">durante </w:t>
      </w:r>
      <w:r w:rsidR="003D17DF">
        <w:rPr>
          <w:rFonts w:ascii="Arial" w:hAnsi="Arial" w:cs="Arial"/>
          <w:sz w:val="18"/>
          <w:szCs w:val="18"/>
        </w:rPr>
        <w:t>el siguiente ejercicio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tentativamente dentro del </w:t>
      </w:r>
      <w:r w:rsidR="00981D26">
        <w:rPr>
          <w:rFonts w:ascii="Arial" w:hAnsi="Arial" w:cs="Arial"/>
          <w:sz w:val="18"/>
          <w:szCs w:val="18"/>
        </w:rPr>
        <w:t>segundo</w:t>
      </w:r>
      <w:r w:rsidR="008C4951">
        <w:rPr>
          <w:rFonts w:ascii="Arial" w:hAnsi="Arial" w:cs="Arial"/>
          <w:sz w:val="18"/>
          <w:szCs w:val="18"/>
        </w:rPr>
        <w:t xml:space="preserve"> semestre del ejercicio 202</w:t>
      </w:r>
      <w:r w:rsidR="003D17DF">
        <w:rPr>
          <w:rFonts w:ascii="Arial" w:hAnsi="Arial" w:cs="Arial"/>
          <w:sz w:val="18"/>
          <w:szCs w:val="18"/>
        </w:rPr>
        <w:t>2</w:t>
      </w:r>
      <w:r w:rsidR="008C4951">
        <w:rPr>
          <w:rFonts w:ascii="Arial" w:hAnsi="Arial" w:cs="Arial"/>
          <w:sz w:val="18"/>
          <w:szCs w:val="18"/>
        </w:rPr>
        <w:t xml:space="preserve">, esto </w:t>
      </w:r>
      <w:r w:rsidR="005B78F0">
        <w:rPr>
          <w:rFonts w:ascii="Arial" w:hAnsi="Arial" w:cs="Arial"/>
          <w:sz w:val="18"/>
          <w:szCs w:val="18"/>
        </w:rPr>
        <w:t>con</w:t>
      </w:r>
      <w:r w:rsidR="008C4951">
        <w:rPr>
          <w:rFonts w:ascii="Arial" w:hAnsi="Arial" w:cs="Arial"/>
          <w:sz w:val="18"/>
          <w:szCs w:val="18"/>
        </w:rPr>
        <w:t xml:space="preserve"> acuerdo </w:t>
      </w:r>
      <w:r w:rsidR="005B78F0">
        <w:rPr>
          <w:rFonts w:ascii="Arial" w:hAnsi="Arial" w:cs="Arial"/>
          <w:sz w:val="18"/>
          <w:szCs w:val="18"/>
        </w:rPr>
        <w:t>y</w:t>
      </w:r>
      <w:r w:rsidR="008C4951">
        <w:rPr>
          <w:rFonts w:ascii="Arial" w:hAnsi="Arial" w:cs="Arial"/>
          <w:sz w:val="18"/>
          <w:szCs w:val="18"/>
        </w:rPr>
        <w:t xml:space="preserve"> la autorización </w:t>
      </w:r>
      <w:r w:rsidR="005B78F0">
        <w:rPr>
          <w:rFonts w:ascii="Arial" w:hAnsi="Arial" w:cs="Arial"/>
          <w:sz w:val="18"/>
          <w:szCs w:val="18"/>
        </w:rPr>
        <w:t>entre</w:t>
      </w:r>
      <w:r w:rsidR="008C4951">
        <w:rPr>
          <w:rFonts w:ascii="Arial" w:hAnsi="Arial" w:cs="Arial"/>
          <w:sz w:val="18"/>
          <w:szCs w:val="18"/>
        </w:rPr>
        <w:t xml:space="preserve"> los Directivos de las oficinas federales de la </w:t>
      </w:r>
      <w:r w:rsidR="005B78F0">
        <w:rPr>
          <w:rFonts w:ascii="Arial" w:hAnsi="Arial" w:cs="Arial"/>
          <w:sz w:val="18"/>
          <w:szCs w:val="18"/>
        </w:rPr>
        <w:t>Coordinación</w:t>
      </w:r>
      <w:r w:rsidR="008C4951">
        <w:rPr>
          <w:rFonts w:ascii="Arial" w:hAnsi="Arial" w:cs="Arial"/>
          <w:sz w:val="18"/>
          <w:szCs w:val="18"/>
        </w:rPr>
        <w:t xml:space="preserve"> de Organismos </w:t>
      </w:r>
      <w:r w:rsidR="005B78F0">
        <w:rPr>
          <w:rFonts w:ascii="Arial" w:hAnsi="Arial" w:cs="Arial"/>
          <w:sz w:val="18"/>
          <w:szCs w:val="18"/>
        </w:rPr>
        <w:t>Públicos</w:t>
      </w:r>
      <w:r w:rsidR="008C4951">
        <w:rPr>
          <w:rFonts w:ascii="Arial" w:hAnsi="Arial" w:cs="Arial"/>
          <w:sz w:val="18"/>
          <w:szCs w:val="18"/>
        </w:rPr>
        <w:t xml:space="preserve"> Descentralizados en la Ciudad de </w:t>
      </w:r>
      <w:r w:rsidR="005B78F0">
        <w:rPr>
          <w:rFonts w:ascii="Arial" w:hAnsi="Arial" w:cs="Arial"/>
          <w:sz w:val="18"/>
          <w:szCs w:val="18"/>
        </w:rPr>
        <w:t xml:space="preserve">México y </w:t>
      </w:r>
      <w:r w:rsidR="00570C93">
        <w:rPr>
          <w:rFonts w:ascii="Arial" w:hAnsi="Arial" w:cs="Arial"/>
          <w:sz w:val="18"/>
          <w:szCs w:val="18"/>
        </w:rPr>
        <w:t>el Titular</w:t>
      </w:r>
      <w:r w:rsidR="005B78F0">
        <w:rPr>
          <w:rFonts w:ascii="Arial" w:hAnsi="Arial" w:cs="Arial"/>
          <w:sz w:val="18"/>
          <w:szCs w:val="18"/>
        </w:rPr>
        <w:t xml:space="preserve"> del Instituto.</w:t>
      </w:r>
    </w:p>
    <w:p w14:paraId="1A962CBC" w14:textId="77777777" w:rsidR="005B78F0" w:rsidRDefault="005B78F0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51AA49F" w14:textId="0BE8738B" w:rsidR="00671C27" w:rsidRDefault="00981D2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También se señala que se han estado llevando a cabo cursos de capacitación mediante la modalidad de cursos en línea.</w:t>
      </w:r>
    </w:p>
    <w:p w14:paraId="6FA55351" w14:textId="347A30A1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EA86109" w14:textId="19C53940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a partir del uno de septiembre de este ejercicio se realizo el cambio de administración para dar paso a los nuevos directivos que llevaran a cabo su encargo con el mejor esmero y dedicación.</w:t>
      </w:r>
    </w:p>
    <w:p w14:paraId="44B3578F" w14:textId="32201C5D" w:rsidR="00927F06" w:rsidRDefault="00927F0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927F0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4AA8" w14:textId="77777777" w:rsidR="00792E3D" w:rsidRDefault="00792E3D" w:rsidP="00EA5418">
      <w:pPr>
        <w:spacing w:after="0" w:line="240" w:lineRule="auto"/>
      </w:pPr>
      <w:r>
        <w:separator/>
      </w:r>
    </w:p>
  </w:endnote>
  <w:endnote w:type="continuationSeparator" w:id="0">
    <w:p w14:paraId="1AA67A49" w14:textId="77777777" w:rsidR="00792E3D" w:rsidRDefault="00792E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8C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945909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203EE" w:rsidRPr="002203E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B36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731FC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203EE" w:rsidRPr="002203E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DCC0" w14:textId="77777777" w:rsidR="00792E3D" w:rsidRDefault="00792E3D" w:rsidP="00EA5418">
      <w:pPr>
        <w:spacing w:after="0" w:line="240" w:lineRule="auto"/>
      </w:pPr>
      <w:r>
        <w:separator/>
      </w:r>
    </w:p>
  </w:footnote>
  <w:footnote w:type="continuationSeparator" w:id="0">
    <w:p w14:paraId="3B8E71FD" w14:textId="77777777" w:rsidR="00792E3D" w:rsidRDefault="00792E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F55D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01FF93B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34A63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A71B3" w14:textId="2D9DF334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44AD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54348C43" w14:textId="77777777" w:rsidR="00545587" w:rsidRDefault="005455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368AC3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A422D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6B6B49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34A63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B7A71B3" w14:textId="2D9DF334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44AD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54348C43" w14:textId="77777777" w:rsidR="00545587" w:rsidRDefault="005455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368AC3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A422D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FBBD49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CA6C70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871D0"/>
    <w:rsid w:val="000C3D70"/>
    <w:rsid w:val="000D352F"/>
    <w:rsid w:val="00104CA9"/>
    <w:rsid w:val="001211D8"/>
    <w:rsid w:val="0013011C"/>
    <w:rsid w:val="001646D9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61F58"/>
    <w:rsid w:val="00273C7A"/>
    <w:rsid w:val="002865A7"/>
    <w:rsid w:val="0029634F"/>
    <w:rsid w:val="002A70B3"/>
    <w:rsid w:val="002E5897"/>
    <w:rsid w:val="002F2686"/>
    <w:rsid w:val="00307635"/>
    <w:rsid w:val="00355821"/>
    <w:rsid w:val="003575A4"/>
    <w:rsid w:val="003610E0"/>
    <w:rsid w:val="00372F40"/>
    <w:rsid w:val="003D17DF"/>
    <w:rsid w:val="003D5DBF"/>
    <w:rsid w:val="003E7FD0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1E39"/>
    <w:rsid w:val="006356A4"/>
    <w:rsid w:val="006636DA"/>
    <w:rsid w:val="00671C27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92E3D"/>
    <w:rsid w:val="0079582C"/>
    <w:rsid w:val="007A1454"/>
    <w:rsid w:val="007D6E9A"/>
    <w:rsid w:val="007E0F5C"/>
    <w:rsid w:val="00803738"/>
    <w:rsid w:val="008379B4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16609"/>
    <w:rsid w:val="00927F06"/>
    <w:rsid w:val="00932EA2"/>
    <w:rsid w:val="00981D26"/>
    <w:rsid w:val="009D5BAD"/>
    <w:rsid w:val="009F2CDC"/>
    <w:rsid w:val="009F7629"/>
    <w:rsid w:val="00A04B75"/>
    <w:rsid w:val="00A14B74"/>
    <w:rsid w:val="00A36597"/>
    <w:rsid w:val="00A37C52"/>
    <w:rsid w:val="00A56CE5"/>
    <w:rsid w:val="00A6548F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B7BB2"/>
    <w:rsid w:val="00DC5580"/>
    <w:rsid w:val="00DD230F"/>
    <w:rsid w:val="00DD5405"/>
    <w:rsid w:val="00E022AA"/>
    <w:rsid w:val="00E316A6"/>
    <w:rsid w:val="00E32708"/>
    <w:rsid w:val="00E5015B"/>
    <w:rsid w:val="00E51648"/>
    <w:rsid w:val="00EA3DE9"/>
    <w:rsid w:val="00EA5418"/>
    <w:rsid w:val="00EE6739"/>
    <w:rsid w:val="00F12FD2"/>
    <w:rsid w:val="00F329C8"/>
    <w:rsid w:val="00F44ADF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E2CD-13BF-49C9-87E7-40BF33F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1151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63</cp:revision>
  <cp:lastPrinted>2020-10-07T17:55:00Z</cp:lastPrinted>
  <dcterms:created xsi:type="dcterms:W3CDTF">2014-09-01T14:30:00Z</dcterms:created>
  <dcterms:modified xsi:type="dcterms:W3CDTF">2022-01-04T19:48:00Z</dcterms:modified>
</cp:coreProperties>
</file>