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45F66" w14:textId="65290DE8" w:rsidR="007D6E9A" w:rsidRDefault="00000000" w:rsidP="00D60DC7">
      <w:pPr>
        <w:tabs>
          <w:tab w:val="left" w:pos="2605"/>
          <w:tab w:val="center" w:pos="4680"/>
        </w:tabs>
      </w:pPr>
      <w:bookmarkStart w:id="0" w:name="_Hlk132626715"/>
      <w:bookmarkEnd w:id="0"/>
      <w:r>
        <w:rPr>
          <w:noProof/>
        </w:rPr>
        <w:object w:dxaOrig="1440" w:dyaOrig="1440" w14:anchorId="6ECD6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1" type="#_x0000_t75" style="position:absolute;margin-left:-36.75pt;margin-top:24pt;width:800.45pt;height:636.7pt;z-index:-251652096">
            <v:imagedata r:id="rId8" o:title=""/>
          </v:shape>
          <o:OLEObject Type="Embed" ProgID="Excel.Sheet.12" ShapeID="_x0000_s2101" DrawAspect="Content" ObjectID="_1822058822" r:id="rId9"/>
        </w:object>
      </w:r>
      <w:r w:rsidR="00D60DC7">
        <w:tab/>
      </w:r>
      <w:r w:rsidR="00D60DC7">
        <w:tab/>
      </w:r>
    </w:p>
    <w:p w14:paraId="199C8860" w14:textId="77777777" w:rsidR="009B64AA" w:rsidRDefault="00E21DE3" w:rsidP="00E21DE3">
      <w:pPr>
        <w:tabs>
          <w:tab w:val="left" w:pos="2628"/>
        </w:tabs>
      </w:pPr>
      <w:r>
        <w:tab/>
      </w:r>
    </w:p>
    <w:p w14:paraId="252886D2" w14:textId="77777777" w:rsidR="00EA5418" w:rsidRDefault="00EA5418" w:rsidP="001F0C04">
      <w:pPr>
        <w:jc w:val="center"/>
      </w:pPr>
    </w:p>
    <w:p w14:paraId="1EC8E5C1" w14:textId="77777777" w:rsidR="00215B92" w:rsidRDefault="00215B92" w:rsidP="001F0C04">
      <w:pPr>
        <w:jc w:val="center"/>
      </w:pPr>
    </w:p>
    <w:p w14:paraId="1C22F12F" w14:textId="77777777" w:rsidR="00215B92" w:rsidRDefault="00215B92" w:rsidP="001F0C04">
      <w:pPr>
        <w:jc w:val="center"/>
      </w:pPr>
    </w:p>
    <w:p w14:paraId="038B6A46" w14:textId="77777777" w:rsidR="00215B92" w:rsidRDefault="00215B92" w:rsidP="001F0C04">
      <w:pPr>
        <w:jc w:val="center"/>
      </w:pPr>
    </w:p>
    <w:p w14:paraId="1678BCE0" w14:textId="77777777" w:rsidR="00215B92" w:rsidRDefault="00E21DE3" w:rsidP="00E21DE3">
      <w:pPr>
        <w:tabs>
          <w:tab w:val="left" w:pos="3228"/>
        </w:tabs>
      </w:pPr>
      <w:r>
        <w:tab/>
      </w:r>
    </w:p>
    <w:p w14:paraId="30F28EC1" w14:textId="77777777" w:rsidR="00215B92" w:rsidRDefault="00215B92" w:rsidP="001F0C04">
      <w:pPr>
        <w:jc w:val="center"/>
      </w:pPr>
    </w:p>
    <w:p w14:paraId="645B507D" w14:textId="77777777" w:rsidR="00215B92" w:rsidRDefault="00215B92" w:rsidP="001F0C04">
      <w:pPr>
        <w:jc w:val="center"/>
      </w:pPr>
    </w:p>
    <w:p w14:paraId="1E2BA51A" w14:textId="77777777" w:rsidR="00215B92" w:rsidRDefault="00215B92" w:rsidP="001F0C04">
      <w:pPr>
        <w:jc w:val="center"/>
      </w:pPr>
    </w:p>
    <w:p w14:paraId="0B699A2F" w14:textId="77777777" w:rsidR="00215B92" w:rsidRDefault="00215B92" w:rsidP="001F0C04">
      <w:pPr>
        <w:jc w:val="center"/>
      </w:pPr>
    </w:p>
    <w:p w14:paraId="6D4CB857" w14:textId="77777777" w:rsidR="00215B92" w:rsidRPr="00215B92" w:rsidRDefault="00215B92" w:rsidP="00FE3B85">
      <w:pPr>
        <w:jc w:val="center"/>
      </w:pPr>
    </w:p>
    <w:p w14:paraId="3348D572" w14:textId="77777777" w:rsidR="00215B92" w:rsidRPr="00215B92" w:rsidRDefault="00215B92" w:rsidP="00215B92"/>
    <w:p w14:paraId="0C31495D" w14:textId="77777777" w:rsidR="00215B92" w:rsidRPr="00215B92" w:rsidRDefault="00215B92" w:rsidP="00215B92"/>
    <w:p w14:paraId="59D82B2F" w14:textId="77777777" w:rsidR="00215B92" w:rsidRPr="00215B92" w:rsidRDefault="00215B92" w:rsidP="00215B92"/>
    <w:p w14:paraId="54FD7EF8" w14:textId="77777777" w:rsidR="00215B92" w:rsidRPr="00215B92" w:rsidRDefault="00215B92" w:rsidP="00215B92"/>
    <w:p w14:paraId="1BFCC238" w14:textId="77777777" w:rsidR="00215B92" w:rsidRPr="00215B92" w:rsidRDefault="00215B92" w:rsidP="00215B92"/>
    <w:p w14:paraId="4AB394D1" w14:textId="77777777" w:rsidR="00215B92" w:rsidRPr="00215B92" w:rsidRDefault="00215B92" w:rsidP="00215B92"/>
    <w:p w14:paraId="6660F1C9" w14:textId="77777777" w:rsidR="00215B92" w:rsidRPr="00215B92" w:rsidRDefault="00215B92" w:rsidP="00215B92"/>
    <w:p w14:paraId="3028A062" w14:textId="77777777" w:rsidR="00215B92" w:rsidRPr="00215B92" w:rsidRDefault="00215B92" w:rsidP="00215B92"/>
    <w:p w14:paraId="219DACD1" w14:textId="77777777" w:rsidR="00215B92" w:rsidRPr="00215B92" w:rsidRDefault="00215B92" w:rsidP="00215B92"/>
    <w:p w14:paraId="38FB7FE7" w14:textId="77777777" w:rsidR="00215B92" w:rsidRPr="00215B92" w:rsidRDefault="00215B92" w:rsidP="00215B92"/>
    <w:p w14:paraId="2366A0AE" w14:textId="77777777" w:rsidR="00215B92" w:rsidRDefault="00215B92" w:rsidP="00215B92"/>
    <w:p w14:paraId="332EEBEF" w14:textId="77777777" w:rsidR="00215B92" w:rsidRDefault="00215B92" w:rsidP="00215B92"/>
    <w:p w14:paraId="2A1DF68F" w14:textId="77777777" w:rsidR="00215B92" w:rsidRDefault="00215B92" w:rsidP="00215B92"/>
    <w:p w14:paraId="5A889168" w14:textId="77777777" w:rsidR="00215B92" w:rsidRDefault="00215B92" w:rsidP="00215B92"/>
    <w:p w14:paraId="443F2B3B" w14:textId="77777777" w:rsidR="00215B92" w:rsidRDefault="00215B92" w:rsidP="00215B92"/>
    <w:p w14:paraId="466A5837" w14:textId="60510F9A" w:rsidR="00215B92" w:rsidRDefault="00000000" w:rsidP="003926A7">
      <w:pPr>
        <w:tabs>
          <w:tab w:val="right" w:pos="9360"/>
        </w:tabs>
      </w:pPr>
      <w:r>
        <w:rPr>
          <w:noProof/>
        </w:rPr>
        <w:lastRenderedPageBreak/>
        <w:object w:dxaOrig="1440" w:dyaOrig="1440" w14:anchorId="58913841">
          <v:shape id="_x0000_s2080" type="#_x0000_t75" style="position:absolute;margin-left:-59.3pt;margin-top:18.35pt;width:600pt;height:598.25pt;z-index:-251655168">
            <v:imagedata r:id="rId10" o:title=""/>
            <w10:wrap side="right"/>
          </v:shape>
          <o:OLEObject Type="Embed" ProgID="Excel.Sheet.12" ShapeID="_x0000_s2080" DrawAspect="Content" ObjectID="_1822058823" r:id="rId11"/>
        </w:object>
      </w:r>
      <w:r w:rsidR="003926A7">
        <w:tab/>
      </w:r>
    </w:p>
    <w:p w14:paraId="78C71164" w14:textId="47854FBE" w:rsidR="00215B92" w:rsidRDefault="001B1579" w:rsidP="003926A7">
      <w:pPr>
        <w:tabs>
          <w:tab w:val="left" w:pos="3380"/>
          <w:tab w:val="center" w:pos="4680"/>
          <w:tab w:val="right" w:pos="9360"/>
        </w:tabs>
      </w:pPr>
      <w:r>
        <w:tab/>
      </w:r>
      <w:r>
        <w:tab/>
      </w:r>
      <w:r w:rsidR="003926A7">
        <w:tab/>
      </w:r>
    </w:p>
    <w:p w14:paraId="07F31A40" w14:textId="77777777" w:rsidR="00215B92" w:rsidRDefault="00215B92" w:rsidP="0081033E">
      <w:pPr>
        <w:jc w:val="center"/>
      </w:pPr>
    </w:p>
    <w:p w14:paraId="1442B28A" w14:textId="77777777" w:rsidR="00215B92" w:rsidRDefault="0081033E" w:rsidP="0081033E">
      <w:pPr>
        <w:tabs>
          <w:tab w:val="left" w:pos="2742"/>
        </w:tabs>
      </w:pPr>
      <w:r>
        <w:tab/>
      </w:r>
    </w:p>
    <w:p w14:paraId="5DC80ED4" w14:textId="77777777" w:rsidR="00215B92" w:rsidRDefault="00215B92" w:rsidP="0081033E">
      <w:pPr>
        <w:jc w:val="center"/>
      </w:pPr>
    </w:p>
    <w:p w14:paraId="5EEDCBC8" w14:textId="77777777" w:rsidR="00215B92" w:rsidRDefault="00215B92" w:rsidP="00215B92"/>
    <w:p w14:paraId="63AF9FA8" w14:textId="77777777" w:rsidR="00215B92" w:rsidRDefault="003926A7" w:rsidP="003926A7">
      <w:pPr>
        <w:tabs>
          <w:tab w:val="left" w:pos="2082"/>
        </w:tabs>
      </w:pPr>
      <w:r>
        <w:tab/>
      </w:r>
    </w:p>
    <w:p w14:paraId="638CCE5D" w14:textId="77777777" w:rsidR="00215B92" w:rsidRDefault="00215B92" w:rsidP="00215B92"/>
    <w:p w14:paraId="2BD5B9ED" w14:textId="77777777" w:rsidR="00215B92" w:rsidRDefault="001A26CD" w:rsidP="001A26CD">
      <w:pPr>
        <w:tabs>
          <w:tab w:val="left" w:pos="1380"/>
        </w:tabs>
      </w:pPr>
      <w:r>
        <w:tab/>
      </w:r>
    </w:p>
    <w:p w14:paraId="414A8167" w14:textId="77777777" w:rsidR="00215B92" w:rsidRDefault="00215B92" w:rsidP="00215B92"/>
    <w:p w14:paraId="6253311F" w14:textId="77777777" w:rsidR="00215B92" w:rsidRDefault="00215B92" w:rsidP="00215B92"/>
    <w:p w14:paraId="2C9050E6" w14:textId="77777777" w:rsidR="00215B92" w:rsidRDefault="00215B92" w:rsidP="00215B92"/>
    <w:p w14:paraId="377C4AD7" w14:textId="77777777" w:rsidR="00215B92" w:rsidRDefault="00215B92" w:rsidP="00215B92"/>
    <w:p w14:paraId="364FF84B" w14:textId="77777777" w:rsidR="00215B92" w:rsidRDefault="00215B92" w:rsidP="00215B92"/>
    <w:p w14:paraId="34F51516" w14:textId="77777777" w:rsidR="00215B92" w:rsidRDefault="00215B92" w:rsidP="00215B92"/>
    <w:p w14:paraId="3936BD8A" w14:textId="77777777" w:rsidR="00215B92" w:rsidRDefault="00215B92" w:rsidP="00215B92"/>
    <w:p w14:paraId="04123B17" w14:textId="77777777" w:rsidR="00215B92" w:rsidRDefault="00215B92" w:rsidP="00215B92"/>
    <w:p w14:paraId="4A71A0AB" w14:textId="77777777" w:rsidR="00215B92" w:rsidRDefault="00215B92" w:rsidP="00215B92"/>
    <w:p w14:paraId="042DAC9F" w14:textId="77777777" w:rsidR="00215B92" w:rsidRDefault="00215B92" w:rsidP="00215B92"/>
    <w:p w14:paraId="674403D6" w14:textId="77777777" w:rsidR="00215B92" w:rsidRDefault="00215B92" w:rsidP="00215B92"/>
    <w:p w14:paraId="37540BCC" w14:textId="77777777" w:rsidR="00215B92" w:rsidRDefault="00215B92" w:rsidP="00B86673">
      <w:pPr>
        <w:jc w:val="center"/>
      </w:pPr>
    </w:p>
    <w:p w14:paraId="2E556FE5" w14:textId="77777777" w:rsidR="00215B92" w:rsidRDefault="00215B92" w:rsidP="00215B92"/>
    <w:p w14:paraId="1EB2756B" w14:textId="77777777" w:rsidR="00215B92" w:rsidRDefault="00215B92" w:rsidP="00215B92"/>
    <w:p w14:paraId="3F4F3973" w14:textId="77777777" w:rsidR="00215B92" w:rsidRDefault="00215B92" w:rsidP="00215B92"/>
    <w:p w14:paraId="5D5BD7BA" w14:textId="77777777" w:rsidR="00215B92" w:rsidRDefault="00215B92" w:rsidP="00215B92"/>
    <w:p w14:paraId="276FEA71" w14:textId="77777777" w:rsidR="00215B92" w:rsidRDefault="00215B92" w:rsidP="00215B92"/>
    <w:p w14:paraId="0B81ABCC" w14:textId="77777777" w:rsidR="00215B92" w:rsidRDefault="00215B92" w:rsidP="00215B92"/>
    <w:p w14:paraId="08A8742D" w14:textId="77777777" w:rsidR="00215B92" w:rsidRDefault="00000000" w:rsidP="00F90A31">
      <w:pPr>
        <w:tabs>
          <w:tab w:val="center" w:pos="4680"/>
        </w:tabs>
      </w:pPr>
      <w:r>
        <w:rPr>
          <w:noProof/>
        </w:rPr>
        <w:lastRenderedPageBreak/>
        <w:object w:dxaOrig="1440" w:dyaOrig="1440" w14:anchorId="5627ED0E">
          <v:shape id="_x0000_s2102" type="#_x0000_t75" style="position:absolute;margin-left:-54pt;margin-top:2.3pt;width:632.1pt;height:660.3pt;z-index:-251651072">
            <v:imagedata r:id="rId12" o:title=""/>
          </v:shape>
          <o:OLEObject Type="Embed" ProgID="Excel.Sheet.12" ShapeID="_x0000_s2102" DrawAspect="Content" ObjectID="_1822058824" r:id="rId13"/>
        </w:object>
      </w:r>
      <w:r w:rsidR="00F90A31">
        <w:tab/>
      </w:r>
    </w:p>
    <w:p w14:paraId="417D8544" w14:textId="77777777" w:rsidR="00215B92" w:rsidRPr="00215B92" w:rsidRDefault="003926A7" w:rsidP="003926A7">
      <w:pPr>
        <w:tabs>
          <w:tab w:val="left" w:pos="5619"/>
        </w:tabs>
      </w:pPr>
      <w:r>
        <w:tab/>
      </w:r>
    </w:p>
    <w:p w14:paraId="076E4DE9" w14:textId="77777777" w:rsidR="00372F40" w:rsidRDefault="00372F40" w:rsidP="003E7FD0">
      <w:pPr>
        <w:jc w:val="center"/>
      </w:pPr>
    </w:p>
    <w:p w14:paraId="2DAF8CB5" w14:textId="7128B6ED" w:rsidR="00215B92" w:rsidRDefault="00AF357E" w:rsidP="00AF357E">
      <w:pPr>
        <w:tabs>
          <w:tab w:val="left" w:pos="2778"/>
        </w:tabs>
      </w:pPr>
      <w:r>
        <w:tab/>
      </w:r>
      <w:r w:rsidR="000B54AD">
        <w:br w:type="textWrapping" w:clear="all"/>
      </w:r>
    </w:p>
    <w:p w14:paraId="42B5C3E9" w14:textId="77777777" w:rsidR="00215B92" w:rsidRPr="00215B92" w:rsidRDefault="00215B92" w:rsidP="00215B92"/>
    <w:p w14:paraId="52299869" w14:textId="77777777" w:rsidR="00215B92" w:rsidRDefault="00215B92" w:rsidP="002A379D">
      <w:pPr>
        <w:jc w:val="center"/>
      </w:pPr>
    </w:p>
    <w:p w14:paraId="20C8DB06" w14:textId="77777777" w:rsidR="00372F40" w:rsidRDefault="00372F40" w:rsidP="00215B92">
      <w:pPr>
        <w:ind w:firstLine="708"/>
      </w:pPr>
    </w:p>
    <w:p w14:paraId="548737B7" w14:textId="77777777" w:rsidR="00215B92" w:rsidRDefault="00215B92" w:rsidP="00215B92">
      <w:pPr>
        <w:ind w:firstLine="708"/>
      </w:pPr>
    </w:p>
    <w:p w14:paraId="62714CB5" w14:textId="77777777" w:rsidR="00215B92" w:rsidRDefault="00215B92" w:rsidP="00215B92">
      <w:pPr>
        <w:ind w:firstLine="708"/>
      </w:pPr>
    </w:p>
    <w:p w14:paraId="2F98A4CE" w14:textId="77777777" w:rsidR="00215B92" w:rsidRDefault="00774FD3" w:rsidP="00774FD3">
      <w:pPr>
        <w:tabs>
          <w:tab w:val="left" w:pos="4274"/>
        </w:tabs>
        <w:ind w:firstLine="708"/>
      </w:pPr>
      <w:r>
        <w:tab/>
      </w:r>
    </w:p>
    <w:p w14:paraId="0DF73FA4" w14:textId="77777777" w:rsidR="00215B92" w:rsidRDefault="00215B92" w:rsidP="00F90A31">
      <w:pPr>
        <w:ind w:firstLine="708"/>
        <w:jc w:val="center"/>
      </w:pPr>
    </w:p>
    <w:p w14:paraId="61513105" w14:textId="77777777" w:rsidR="00215B92" w:rsidRDefault="00215B92" w:rsidP="00215B92">
      <w:pPr>
        <w:ind w:firstLine="708"/>
      </w:pPr>
    </w:p>
    <w:p w14:paraId="02D280BC" w14:textId="77777777" w:rsidR="00215B92" w:rsidRDefault="00215B92" w:rsidP="00215B92">
      <w:pPr>
        <w:ind w:firstLine="708"/>
      </w:pPr>
    </w:p>
    <w:p w14:paraId="60A15FB2" w14:textId="77777777" w:rsidR="00215B92" w:rsidRDefault="00215B92" w:rsidP="00215B92">
      <w:pPr>
        <w:ind w:firstLine="708"/>
      </w:pPr>
    </w:p>
    <w:p w14:paraId="29E120BC" w14:textId="77777777" w:rsidR="00215B92" w:rsidRDefault="00215B92" w:rsidP="00215B92">
      <w:pPr>
        <w:ind w:firstLine="708"/>
      </w:pPr>
    </w:p>
    <w:p w14:paraId="3CB19A73" w14:textId="77777777" w:rsidR="00215B92" w:rsidRDefault="00215B92" w:rsidP="00215B92">
      <w:pPr>
        <w:ind w:firstLine="708"/>
      </w:pPr>
    </w:p>
    <w:p w14:paraId="047EF291" w14:textId="77777777" w:rsidR="00215B92" w:rsidRDefault="00215B92" w:rsidP="00215B92">
      <w:pPr>
        <w:ind w:firstLine="708"/>
      </w:pPr>
    </w:p>
    <w:p w14:paraId="152C4E6A" w14:textId="77777777" w:rsidR="00215B92" w:rsidRDefault="00215B92" w:rsidP="00215B92">
      <w:pPr>
        <w:ind w:firstLine="708"/>
      </w:pPr>
    </w:p>
    <w:p w14:paraId="5FC8F2A7" w14:textId="77777777" w:rsidR="00215B92" w:rsidRDefault="00215B92" w:rsidP="00215B92">
      <w:pPr>
        <w:ind w:firstLine="708"/>
      </w:pPr>
    </w:p>
    <w:p w14:paraId="3B11C8B6" w14:textId="77777777" w:rsidR="00215B92" w:rsidRDefault="00215B92" w:rsidP="00215B92">
      <w:pPr>
        <w:ind w:firstLine="708"/>
      </w:pPr>
    </w:p>
    <w:p w14:paraId="344DB201" w14:textId="77777777" w:rsidR="00215B92" w:rsidRDefault="00215B92" w:rsidP="00215B92">
      <w:pPr>
        <w:ind w:firstLine="708"/>
      </w:pPr>
    </w:p>
    <w:p w14:paraId="23B29992" w14:textId="77777777" w:rsidR="00215B92" w:rsidRDefault="00215B92" w:rsidP="00215B92">
      <w:pPr>
        <w:ind w:firstLine="708"/>
      </w:pPr>
    </w:p>
    <w:p w14:paraId="15BA3B47" w14:textId="77777777" w:rsidR="00215B92" w:rsidRDefault="00215B92" w:rsidP="00215B92">
      <w:pPr>
        <w:ind w:firstLine="708"/>
      </w:pPr>
    </w:p>
    <w:p w14:paraId="2480BFFA" w14:textId="77777777" w:rsidR="00215B92" w:rsidRDefault="00215B92" w:rsidP="00215B92">
      <w:pPr>
        <w:ind w:firstLine="708"/>
      </w:pPr>
    </w:p>
    <w:p w14:paraId="7A51A199" w14:textId="77777777" w:rsidR="00215B92" w:rsidRDefault="00215B92" w:rsidP="00215B92">
      <w:pPr>
        <w:ind w:firstLine="708"/>
      </w:pPr>
    </w:p>
    <w:p w14:paraId="28B16B3C" w14:textId="77777777" w:rsidR="00215B92" w:rsidRDefault="00215B92" w:rsidP="00215B92">
      <w:pPr>
        <w:ind w:firstLine="708"/>
      </w:pPr>
    </w:p>
    <w:p w14:paraId="396BB1FE" w14:textId="65AA6002" w:rsidR="00215B92" w:rsidRDefault="00000000" w:rsidP="00215B92">
      <w:pPr>
        <w:ind w:firstLine="708"/>
      </w:pPr>
      <w:r>
        <w:rPr>
          <w:noProof/>
        </w:rPr>
        <w:lastRenderedPageBreak/>
        <w:object w:dxaOrig="1440" w:dyaOrig="1440" w14:anchorId="54BE0AF3">
          <v:shape id="_x0000_s2095" type="#_x0000_t75" style="position:absolute;left:0;text-align:left;margin-left:-44.15pt;margin-top:7.6pt;width:556.7pt;height:601.05pt;z-index:251663360">
            <v:imagedata r:id="rId14" o:title=""/>
            <w10:wrap side="right"/>
          </v:shape>
          <o:OLEObject Type="Embed" ProgID="Excel.Sheet.12" ShapeID="_x0000_s2095" DrawAspect="Content" ObjectID="_1822058825" r:id="rId15"/>
        </w:object>
      </w:r>
      <w:r w:rsidR="00F21F02">
        <w:t xml:space="preserve"> </w:t>
      </w:r>
    </w:p>
    <w:p w14:paraId="739824E7" w14:textId="49268432" w:rsidR="00215B92" w:rsidRDefault="00215B92" w:rsidP="00215B92">
      <w:pPr>
        <w:ind w:firstLine="708"/>
      </w:pPr>
    </w:p>
    <w:p w14:paraId="2ECCA4A2" w14:textId="77777777" w:rsidR="00215B92" w:rsidRDefault="00215B92" w:rsidP="00215B92">
      <w:pPr>
        <w:ind w:firstLine="708"/>
      </w:pPr>
    </w:p>
    <w:p w14:paraId="7BD4B849" w14:textId="77777777" w:rsidR="00215B92" w:rsidRDefault="00215B92" w:rsidP="00215B92">
      <w:pPr>
        <w:ind w:firstLine="708"/>
      </w:pPr>
    </w:p>
    <w:p w14:paraId="2AAEB5C4" w14:textId="77777777" w:rsidR="00215B92" w:rsidRDefault="00215B92" w:rsidP="00215B92">
      <w:pPr>
        <w:ind w:firstLine="708"/>
      </w:pPr>
    </w:p>
    <w:p w14:paraId="0B7FF3C0" w14:textId="77777777" w:rsidR="00215B92" w:rsidRDefault="00215B92" w:rsidP="00215B92">
      <w:pPr>
        <w:ind w:firstLine="708"/>
      </w:pPr>
    </w:p>
    <w:p w14:paraId="46B6D488" w14:textId="77777777" w:rsidR="00215B92" w:rsidRDefault="00215B92" w:rsidP="00215B92">
      <w:pPr>
        <w:ind w:firstLine="708"/>
      </w:pPr>
    </w:p>
    <w:p w14:paraId="6F043FB1" w14:textId="77777777" w:rsidR="00215B92" w:rsidRDefault="00215B92" w:rsidP="00215B92">
      <w:pPr>
        <w:ind w:firstLine="708"/>
      </w:pPr>
    </w:p>
    <w:p w14:paraId="110C64C9" w14:textId="77777777" w:rsidR="00215B92" w:rsidRDefault="00215B92" w:rsidP="00215B92">
      <w:pPr>
        <w:ind w:firstLine="708"/>
      </w:pPr>
    </w:p>
    <w:p w14:paraId="238333AF" w14:textId="77777777" w:rsidR="00215B92" w:rsidRDefault="00215B92" w:rsidP="00215B92">
      <w:pPr>
        <w:ind w:firstLine="708"/>
      </w:pPr>
    </w:p>
    <w:p w14:paraId="7B62910B" w14:textId="77777777" w:rsidR="00215B92" w:rsidRDefault="00215B92" w:rsidP="00215B92">
      <w:pPr>
        <w:ind w:firstLine="708"/>
      </w:pPr>
    </w:p>
    <w:p w14:paraId="0F635659" w14:textId="77777777" w:rsidR="00215B92" w:rsidRDefault="00215B92" w:rsidP="00215B92">
      <w:pPr>
        <w:ind w:firstLine="708"/>
      </w:pPr>
    </w:p>
    <w:p w14:paraId="70F457D7" w14:textId="77777777" w:rsidR="00215B92" w:rsidRDefault="00215B92" w:rsidP="00215B92">
      <w:pPr>
        <w:ind w:firstLine="708"/>
      </w:pPr>
    </w:p>
    <w:p w14:paraId="68DAC631" w14:textId="77777777" w:rsidR="00215B92" w:rsidRDefault="00215B92" w:rsidP="00215B92">
      <w:pPr>
        <w:ind w:firstLine="708"/>
      </w:pPr>
    </w:p>
    <w:p w14:paraId="2BF24601" w14:textId="77777777" w:rsidR="00215B92" w:rsidRDefault="00215B92" w:rsidP="00215B92">
      <w:pPr>
        <w:ind w:firstLine="708"/>
      </w:pPr>
    </w:p>
    <w:p w14:paraId="0874660A" w14:textId="77777777" w:rsidR="00215B92" w:rsidRDefault="00215B92" w:rsidP="00215B92">
      <w:pPr>
        <w:ind w:firstLine="708"/>
      </w:pPr>
    </w:p>
    <w:p w14:paraId="747B40A8" w14:textId="77777777" w:rsidR="00215B92" w:rsidRDefault="00215B92" w:rsidP="00215B92">
      <w:pPr>
        <w:ind w:firstLine="708"/>
      </w:pPr>
    </w:p>
    <w:p w14:paraId="376C619F" w14:textId="77777777" w:rsidR="00954BB8" w:rsidRDefault="00954BB8" w:rsidP="00215B92">
      <w:pPr>
        <w:ind w:firstLine="708"/>
      </w:pPr>
    </w:p>
    <w:p w14:paraId="53E9DC83" w14:textId="77777777" w:rsidR="00954BB8" w:rsidRDefault="00954BB8" w:rsidP="00215B92">
      <w:pPr>
        <w:ind w:firstLine="708"/>
      </w:pPr>
    </w:p>
    <w:p w14:paraId="4DBD7FEE" w14:textId="77777777" w:rsidR="00954BB8" w:rsidRDefault="00954BB8" w:rsidP="00215B92">
      <w:pPr>
        <w:ind w:firstLine="708"/>
      </w:pPr>
    </w:p>
    <w:p w14:paraId="79E1AE57" w14:textId="77777777" w:rsidR="00954BB8" w:rsidRDefault="00954BB8" w:rsidP="00215B92">
      <w:pPr>
        <w:ind w:firstLine="708"/>
      </w:pPr>
    </w:p>
    <w:p w14:paraId="61EA3A7C" w14:textId="77777777" w:rsidR="00954BB8" w:rsidRDefault="00954BB8" w:rsidP="00215B92">
      <w:pPr>
        <w:ind w:firstLine="708"/>
      </w:pPr>
    </w:p>
    <w:p w14:paraId="71D2A30D" w14:textId="77777777" w:rsidR="00954BB8" w:rsidRDefault="00954BB8" w:rsidP="00215B92">
      <w:pPr>
        <w:ind w:firstLine="708"/>
      </w:pPr>
    </w:p>
    <w:p w14:paraId="38C61B2A" w14:textId="77777777" w:rsidR="00954BB8" w:rsidRDefault="00954BB8" w:rsidP="00215B92">
      <w:pPr>
        <w:ind w:firstLine="708"/>
      </w:pPr>
    </w:p>
    <w:p w14:paraId="230CF466" w14:textId="77777777" w:rsidR="00954BB8" w:rsidRDefault="00954BB8" w:rsidP="00215B92">
      <w:pPr>
        <w:ind w:firstLine="708"/>
      </w:pPr>
    </w:p>
    <w:p w14:paraId="4308B43D" w14:textId="77777777" w:rsidR="00954BB8" w:rsidRDefault="00954BB8" w:rsidP="00215B92">
      <w:pPr>
        <w:ind w:firstLine="708"/>
      </w:pPr>
    </w:p>
    <w:p w14:paraId="3FF75111" w14:textId="77777777" w:rsidR="00954BB8" w:rsidRDefault="00954BB8" w:rsidP="00215B92">
      <w:pPr>
        <w:ind w:firstLine="708"/>
      </w:pPr>
    </w:p>
    <w:p w14:paraId="0DEDC8E7" w14:textId="77777777" w:rsidR="00954BB8" w:rsidRDefault="00000000" w:rsidP="00215B92">
      <w:pPr>
        <w:ind w:firstLine="708"/>
      </w:pPr>
      <w:r>
        <w:rPr>
          <w:noProof/>
        </w:rPr>
        <w:lastRenderedPageBreak/>
        <w:object w:dxaOrig="1440" w:dyaOrig="1440" w14:anchorId="19B6F674">
          <v:shape id="_x0000_s2104" type="#_x0000_t75" style="position:absolute;left:0;text-align:left;margin-left:-38.7pt;margin-top:18.95pt;width:545.85pt;height:600.65pt;z-index:251667456">
            <v:imagedata r:id="rId16" o:title=""/>
          </v:shape>
          <o:OLEObject Type="Embed" ProgID="Excel.Sheet.12" ShapeID="_x0000_s2104" DrawAspect="Content" ObjectID="_1822058826" r:id="rId17"/>
        </w:object>
      </w:r>
    </w:p>
    <w:p w14:paraId="76410395" w14:textId="77777777" w:rsidR="00954BB8" w:rsidRDefault="00954BB8" w:rsidP="00215B92">
      <w:pPr>
        <w:ind w:firstLine="708"/>
      </w:pPr>
    </w:p>
    <w:p w14:paraId="373357C7" w14:textId="77777777" w:rsidR="00954BB8" w:rsidRDefault="00954BB8" w:rsidP="00215B92">
      <w:pPr>
        <w:ind w:firstLine="708"/>
      </w:pPr>
    </w:p>
    <w:p w14:paraId="47BB2F74" w14:textId="77777777" w:rsidR="00954BB8" w:rsidRDefault="00954BB8" w:rsidP="00215B92">
      <w:pPr>
        <w:ind w:firstLine="708"/>
      </w:pPr>
    </w:p>
    <w:p w14:paraId="73185DE3" w14:textId="77777777" w:rsidR="00954BB8" w:rsidRDefault="00954BB8" w:rsidP="00215B92">
      <w:pPr>
        <w:ind w:firstLine="708"/>
      </w:pPr>
    </w:p>
    <w:p w14:paraId="08D6CB20" w14:textId="77777777" w:rsidR="00954BB8" w:rsidRDefault="00954BB8" w:rsidP="00215B92">
      <w:pPr>
        <w:ind w:firstLine="708"/>
      </w:pPr>
    </w:p>
    <w:p w14:paraId="333B2F44" w14:textId="77777777" w:rsidR="00954BB8" w:rsidRDefault="00954BB8" w:rsidP="00215B92">
      <w:pPr>
        <w:ind w:firstLine="708"/>
      </w:pPr>
    </w:p>
    <w:p w14:paraId="009116BA" w14:textId="77777777" w:rsidR="00954BB8" w:rsidRDefault="00954BB8" w:rsidP="00215B92">
      <w:pPr>
        <w:ind w:firstLine="708"/>
      </w:pPr>
    </w:p>
    <w:p w14:paraId="59219AEF" w14:textId="77777777" w:rsidR="00954BB8" w:rsidRDefault="00954BB8" w:rsidP="00215B92">
      <w:pPr>
        <w:ind w:firstLine="708"/>
      </w:pPr>
    </w:p>
    <w:p w14:paraId="7941B9F5" w14:textId="77777777" w:rsidR="00954BB8" w:rsidRDefault="00954BB8" w:rsidP="00215B92">
      <w:pPr>
        <w:ind w:firstLine="708"/>
      </w:pPr>
    </w:p>
    <w:p w14:paraId="6987F053" w14:textId="77777777" w:rsidR="00954BB8" w:rsidRDefault="00954BB8" w:rsidP="00215B92">
      <w:pPr>
        <w:ind w:firstLine="708"/>
      </w:pPr>
    </w:p>
    <w:p w14:paraId="1F1B97F7" w14:textId="77777777" w:rsidR="00954BB8" w:rsidRDefault="00954BB8" w:rsidP="00215B92">
      <w:pPr>
        <w:ind w:firstLine="708"/>
      </w:pPr>
    </w:p>
    <w:p w14:paraId="00A1A338" w14:textId="77777777" w:rsidR="00954BB8" w:rsidRDefault="00954BB8" w:rsidP="00215B92">
      <w:pPr>
        <w:ind w:firstLine="708"/>
      </w:pPr>
    </w:p>
    <w:p w14:paraId="53FF4F91" w14:textId="77777777" w:rsidR="00954BB8" w:rsidRDefault="00954BB8" w:rsidP="00215B92">
      <w:pPr>
        <w:ind w:firstLine="708"/>
      </w:pPr>
    </w:p>
    <w:p w14:paraId="049C5EAC" w14:textId="77777777" w:rsidR="00954BB8" w:rsidRDefault="00954BB8" w:rsidP="00215B92">
      <w:pPr>
        <w:ind w:firstLine="708"/>
      </w:pPr>
    </w:p>
    <w:p w14:paraId="7DE8A820" w14:textId="77777777" w:rsidR="00954BB8" w:rsidRDefault="00954BB8" w:rsidP="00215B92">
      <w:pPr>
        <w:ind w:firstLine="708"/>
      </w:pPr>
    </w:p>
    <w:p w14:paraId="6186C3F1" w14:textId="77777777" w:rsidR="00954BB8" w:rsidRDefault="00954BB8" w:rsidP="00215B92">
      <w:pPr>
        <w:ind w:firstLine="708"/>
      </w:pPr>
    </w:p>
    <w:p w14:paraId="0A17D92F" w14:textId="77777777" w:rsidR="00954BB8" w:rsidRDefault="00954BB8" w:rsidP="00215B92">
      <w:pPr>
        <w:ind w:firstLine="708"/>
      </w:pPr>
    </w:p>
    <w:p w14:paraId="4FF39160" w14:textId="77777777" w:rsidR="00954BB8" w:rsidRDefault="00954BB8" w:rsidP="00215B92">
      <w:pPr>
        <w:ind w:firstLine="708"/>
      </w:pPr>
    </w:p>
    <w:p w14:paraId="4E1CFDA5" w14:textId="77777777" w:rsidR="00954BB8" w:rsidRDefault="00954BB8" w:rsidP="00215B92">
      <w:pPr>
        <w:ind w:firstLine="708"/>
      </w:pPr>
    </w:p>
    <w:p w14:paraId="493B80C0" w14:textId="77777777" w:rsidR="00954BB8" w:rsidRDefault="00954BB8" w:rsidP="00215B92">
      <w:pPr>
        <w:ind w:firstLine="708"/>
      </w:pPr>
    </w:p>
    <w:p w14:paraId="0AC72F7A" w14:textId="77777777" w:rsidR="00954BB8" w:rsidRDefault="00954BB8" w:rsidP="00215B92">
      <w:pPr>
        <w:ind w:firstLine="708"/>
      </w:pPr>
    </w:p>
    <w:p w14:paraId="16751A1D" w14:textId="77777777" w:rsidR="00954BB8" w:rsidRDefault="00954BB8" w:rsidP="00215B92">
      <w:pPr>
        <w:ind w:firstLine="708"/>
      </w:pPr>
    </w:p>
    <w:p w14:paraId="25778641" w14:textId="77777777" w:rsidR="00954BB8" w:rsidRDefault="00954BB8" w:rsidP="00215B92">
      <w:pPr>
        <w:ind w:firstLine="708"/>
      </w:pPr>
    </w:p>
    <w:p w14:paraId="75663C88" w14:textId="77777777" w:rsidR="00954BB8" w:rsidRDefault="00954BB8" w:rsidP="00215B92">
      <w:pPr>
        <w:ind w:firstLine="708"/>
      </w:pPr>
    </w:p>
    <w:p w14:paraId="6E2D3433" w14:textId="77777777" w:rsidR="00954BB8" w:rsidRDefault="00954BB8" w:rsidP="00215B92">
      <w:pPr>
        <w:ind w:firstLine="708"/>
      </w:pPr>
    </w:p>
    <w:p w14:paraId="57388009" w14:textId="77777777" w:rsidR="00954BB8" w:rsidRDefault="00954BB8" w:rsidP="00215B92">
      <w:pPr>
        <w:ind w:firstLine="708"/>
      </w:pPr>
    </w:p>
    <w:p w14:paraId="2D94CEAF" w14:textId="22582BC7" w:rsidR="00954BB8" w:rsidRDefault="00000000" w:rsidP="00215B92">
      <w:pPr>
        <w:ind w:firstLine="708"/>
      </w:pPr>
      <w:r>
        <w:rPr>
          <w:noProof/>
        </w:rPr>
        <w:lastRenderedPageBreak/>
        <w:object w:dxaOrig="1440" w:dyaOrig="1440" w14:anchorId="1B198261">
          <v:shape id="_x0000_s2088" type="#_x0000_t75" style="position:absolute;left:0;text-align:left;margin-left:-52.15pt;margin-top:11.25pt;width:561.6pt;height:642.4pt;z-index:251662336">
            <v:imagedata r:id="rId18" o:title=""/>
            <w10:wrap side="right"/>
          </v:shape>
          <o:OLEObject Type="Embed" ProgID="Excel.Sheet.12" ShapeID="_x0000_s2088" DrawAspect="Content" ObjectID="_1822058827" r:id="rId19"/>
        </w:object>
      </w:r>
    </w:p>
    <w:p w14:paraId="40C9DB41" w14:textId="0760A9A1" w:rsidR="00954BB8" w:rsidRDefault="00954BB8" w:rsidP="00215B92">
      <w:pPr>
        <w:ind w:firstLine="708"/>
      </w:pPr>
    </w:p>
    <w:p w14:paraId="1AED11A0" w14:textId="77777777" w:rsidR="00215B92" w:rsidRDefault="00215B92" w:rsidP="00215B92">
      <w:pPr>
        <w:ind w:firstLine="708"/>
      </w:pPr>
    </w:p>
    <w:p w14:paraId="13C9E5C5" w14:textId="77777777" w:rsidR="00215B92" w:rsidRDefault="00215B92" w:rsidP="00215B92">
      <w:pPr>
        <w:ind w:firstLine="708"/>
      </w:pPr>
    </w:p>
    <w:p w14:paraId="43806459" w14:textId="77777777" w:rsidR="00215B92" w:rsidRDefault="00215B92" w:rsidP="00215B92">
      <w:pPr>
        <w:ind w:firstLine="708"/>
      </w:pPr>
    </w:p>
    <w:p w14:paraId="2F96837F" w14:textId="77777777" w:rsidR="00215B92" w:rsidRDefault="00215B92" w:rsidP="00215B92">
      <w:pPr>
        <w:ind w:firstLine="708"/>
      </w:pPr>
    </w:p>
    <w:p w14:paraId="3C3F7ED2" w14:textId="77777777" w:rsidR="00215B92" w:rsidRDefault="00215B92" w:rsidP="00215B92">
      <w:pPr>
        <w:ind w:firstLine="708"/>
      </w:pPr>
    </w:p>
    <w:p w14:paraId="6AF11667" w14:textId="77777777" w:rsidR="00215B92" w:rsidRDefault="00215B92" w:rsidP="00215B92">
      <w:pPr>
        <w:ind w:firstLine="708"/>
      </w:pPr>
    </w:p>
    <w:p w14:paraId="3DF55EA3" w14:textId="77777777" w:rsidR="00215B92" w:rsidRDefault="00215B92" w:rsidP="00215B92">
      <w:pPr>
        <w:ind w:firstLine="708"/>
      </w:pPr>
    </w:p>
    <w:p w14:paraId="093C5861" w14:textId="77777777" w:rsidR="00215B92" w:rsidRDefault="00215B92" w:rsidP="00215B92">
      <w:pPr>
        <w:ind w:firstLine="708"/>
      </w:pPr>
    </w:p>
    <w:p w14:paraId="6B172773" w14:textId="77777777" w:rsidR="00215B92" w:rsidRDefault="00215B92" w:rsidP="00215B92">
      <w:pPr>
        <w:ind w:firstLine="708"/>
      </w:pPr>
    </w:p>
    <w:p w14:paraId="7251590A" w14:textId="77777777" w:rsidR="00215B92" w:rsidRDefault="00215B92" w:rsidP="00215B92">
      <w:pPr>
        <w:ind w:firstLine="708"/>
      </w:pPr>
    </w:p>
    <w:p w14:paraId="35D1D4FC" w14:textId="77777777" w:rsidR="00215B92" w:rsidRDefault="00215B92" w:rsidP="00215B92">
      <w:pPr>
        <w:ind w:firstLine="708"/>
      </w:pPr>
    </w:p>
    <w:p w14:paraId="4DE4A73B" w14:textId="77777777" w:rsidR="00215B92" w:rsidRDefault="00215B92" w:rsidP="00215B92">
      <w:pPr>
        <w:ind w:firstLine="708"/>
      </w:pPr>
    </w:p>
    <w:p w14:paraId="57F05A8C" w14:textId="77777777" w:rsidR="00215B92" w:rsidRDefault="00215B92" w:rsidP="00215B92">
      <w:pPr>
        <w:ind w:firstLine="708"/>
      </w:pPr>
    </w:p>
    <w:p w14:paraId="3ACE9E14" w14:textId="77777777" w:rsidR="00215B92" w:rsidRDefault="00215B92" w:rsidP="00215B92">
      <w:pPr>
        <w:ind w:firstLine="708"/>
      </w:pPr>
    </w:p>
    <w:p w14:paraId="23932A5A" w14:textId="77777777" w:rsidR="00215B92" w:rsidRDefault="00215B92" w:rsidP="00215B92">
      <w:pPr>
        <w:ind w:firstLine="708"/>
      </w:pPr>
    </w:p>
    <w:p w14:paraId="5FCC844D" w14:textId="77777777" w:rsidR="00F302C1" w:rsidRDefault="00F302C1" w:rsidP="00215B92">
      <w:pPr>
        <w:ind w:firstLine="708"/>
      </w:pPr>
    </w:p>
    <w:p w14:paraId="43FC745C" w14:textId="77777777" w:rsidR="00F302C1" w:rsidRDefault="00F302C1" w:rsidP="00215B92">
      <w:pPr>
        <w:ind w:firstLine="708"/>
      </w:pPr>
    </w:p>
    <w:p w14:paraId="4708C6F6" w14:textId="77777777" w:rsidR="00F302C1" w:rsidRDefault="00F302C1" w:rsidP="00215B92">
      <w:pPr>
        <w:ind w:firstLine="708"/>
      </w:pPr>
    </w:p>
    <w:p w14:paraId="36C5A788" w14:textId="77777777" w:rsidR="00F302C1" w:rsidRDefault="00F302C1" w:rsidP="00215B92">
      <w:pPr>
        <w:ind w:firstLine="708"/>
      </w:pPr>
    </w:p>
    <w:p w14:paraId="57B8CFEA" w14:textId="77777777" w:rsidR="00F302C1" w:rsidRDefault="00F302C1" w:rsidP="00215B92">
      <w:pPr>
        <w:ind w:firstLine="708"/>
      </w:pPr>
    </w:p>
    <w:p w14:paraId="680D3718" w14:textId="77777777" w:rsidR="00F302C1" w:rsidRDefault="00F302C1" w:rsidP="00215B92">
      <w:pPr>
        <w:ind w:firstLine="708"/>
      </w:pPr>
    </w:p>
    <w:p w14:paraId="5E0793EB" w14:textId="77777777" w:rsidR="00F302C1" w:rsidRDefault="00F302C1" w:rsidP="00215B92">
      <w:pPr>
        <w:ind w:firstLine="708"/>
      </w:pPr>
    </w:p>
    <w:p w14:paraId="63C29668" w14:textId="77777777" w:rsidR="00F302C1" w:rsidRDefault="00F302C1" w:rsidP="00215B92">
      <w:pPr>
        <w:ind w:firstLine="708"/>
      </w:pPr>
    </w:p>
    <w:p w14:paraId="3B10ED2C" w14:textId="77777777" w:rsidR="00F302C1" w:rsidRDefault="00F302C1" w:rsidP="00215B92">
      <w:pPr>
        <w:ind w:firstLine="708"/>
      </w:pPr>
    </w:p>
    <w:p w14:paraId="13677F36" w14:textId="77777777" w:rsidR="00F302C1" w:rsidRDefault="00F302C1" w:rsidP="00215B92">
      <w:pPr>
        <w:ind w:firstLine="708"/>
      </w:pPr>
    </w:p>
    <w:p w14:paraId="04880660" w14:textId="77777777" w:rsidR="00F302C1" w:rsidRDefault="00000000" w:rsidP="00215B92">
      <w:pPr>
        <w:ind w:firstLine="708"/>
      </w:pPr>
      <w:r>
        <w:rPr>
          <w:noProof/>
        </w:rPr>
        <w:lastRenderedPageBreak/>
        <w:object w:dxaOrig="1440" w:dyaOrig="1440" w14:anchorId="3CAB8C98">
          <v:shape id="_x0000_s2103" type="#_x0000_t75" style="position:absolute;left:0;text-align:left;margin-left:-32.7pt;margin-top:12.8pt;width:533.2pt;height:661.7pt;z-index:251666432">
            <v:imagedata r:id="rId20" o:title=""/>
          </v:shape>
          <o:OLEObject Type="Embed" ProgID="Excel.Sheet.12" ShapeID="_x0000_s2103" DrawAspect="Content" ObjectID="_1822058828" r:id="rId21"/>
        </w:object>
      </w:r>
    </w:p>
    <w:p w14:paraId="7169367C" w14:textId="77777777" w:rsidR="00F302C1" w:rsidRDefault="00F302C1" w:rsidP="00215B92">
      <w:pPr>
        <w:ind w:firstLine="708"/>
      </w:pPr>
    </w:p>
    <w:p w14:paraId="6C5C3A4A" w14:textId="77777777" w:rsidR="00F302C1" w:rsidRDefault="00F302C1" w:rsidP="00215B92">
      <w:pPr>
        <w:ind w:firstLine="708"/>
      </w:pPr>
    </w:p>
    <w:p w14:paraId="293523D8" w14:textId="77777777" w:rsidR="00F302C1" w:rsidRDefault="00F302C1" w:rsidP="00215B92">
      <w:pPr>
        <w:ind w:firstLine="708"/>
      </w:pPr>
    </w:p>
    <w:p w14:paraId="76ACCBCA" w14:textId="77777777" w:rsidR="00F302C1" w:rsidRDefault="00F302C1" w:rsidP="00215B92">
      <w:pPr>
        <w:ind w:firstLine="708"/>
      </w:pPr>
    </w:p>
    <w:p w14:paraId="5E12F8AC" w14:textId="77777777" w:rsidR="00F302C1" w:rsidRDefault="00F302C1" w:rsidP="00215B92">
      <w:pPr>
        <w:ind w:firstLine="708"/>
      </w:pPr>
    </w:p>
    <w:p w14:paraId="18DAB4BB" w14:textId="77777777" w:rsidR="00F302C1" w:rsidRDefault="00F302C1" w:rsidP="00215B92">
      <w:pPr>
        <w:ind w:firstLine="708"/>
      </w:pPr>
    </w:p>
    <w:p w14:paraId="19542009" w14:textId="77777777" w:rsidR="00F302C1" w:rsidRDefault="00F302C1" w:rsidP="00215B92">
      <w:pPr>
        <w:ind w:firstLine="708"/>
      </w:pPr>
    </w:p>
    <w:p w14:paraId="4B5DB24A" w14:textId="77777777" w:rsidR="00F302C1" w:rsidRDefault="00F302C1" w:rsidP="00215B92">
      <w:pPr>
        <w:ind w:firstLine="708"/>
      </w:pPr>
    </w:p>
    <w:p w14:paraId="648DA37D" w14:textId="77777777" w:rsidR="00F302C1" w:rsidRDefault="00F302C1" w:rsidP="00215B92">
      <w:pPr>
        <w:ind w:firstLine="708"/>
      </w:pPr>
    </w:p>
    <w:p w14:paraId="28C5CDC0" w14:textId="77777777" w:rsidR="00F302C1" w:rsidRDefault="00F302C1" w:rsidP="00215B92">
      <w:pPr>
        <w:ind w:firstLine="708"/>
      </w:pPr>
    </w:p>
    <w:p w14:paraId="47730256" w14:textId="77777777" w:rsidR="00F302C1" w:rsidRDefault="00F302C1" w:rsidP="00215B92">
      <w:pPr>
        <w:ind w:firstLine="708"/>
      </w:pPr>
    </w:p>
    <w:p w14:paraId="222D70F0" w14:textId="77777777" w:rsidR="00F302C1" w:rsidRDefault="00F302C1" w:rsidP="00215B92">
      <w:pPr>
        <w:ind w:firstLine="708"/>
      </w:pPr>
    </w:p>
    <w:p w14:paraId="44527CE8" w14:textId="77777777" w:rsidR="00F302C1" w:rsidRDefault="00F302C1" w:rsidP="00215B92">
      <w:pPr>
        <w:ind w:firstLine="708"/>
      </w:pPr>
    </w:p>
    <w:p w14:paraId="2B8EA254" w14:textId="77777777" w:rsidR="00F302C1" w:rsidRDefault="00F302C1" w:rsidP="00215B92">
      <w:pPr>
        <w:ind w:firstLine="708"/>
      </w:pPr>
    </w:p>
    <w:p w14:paraId="19F64663" w14:textId="77777777" w:rsidR="00F302C1" w:rsidRDefault="00F302C1" w:rsidP="00215B92">
      <w:pPr>
        <w:ind w:firstLine="708"/>
      </w:pPr>
    </w:p>
    <w:p w14:paraId="17F6FD96" w14:textId="77777777" w:rsidR="00F302C1" w:rsidRDefault="00F302C1" w:rsidP="00215B92">
      <w:pPr>
        <w:ind w:firstLine="708"/>
      </w:pPr>
    </w:p>
    <w:p w14:paraId="796B311D" w14:textId="77777777" w:rsidR="00F302C1" w:rsidRDefault="00F302C1" w:rsidP="00215B92">
      <w:pPr>
        <w:ind w:firstLine="708"/>
      </w:pPr>
    </w:p>
    <w:p w14:paraId="20482CA2" w14:textId="77777777" w:rsidR="00F302C1" w:rsidRDefault="00F302C1" w:rsidP="00215B92">
      <w:pPr>
        <w:ind w:firstLine="708"/>
      </w:pPr>
    </w:p>
    <w:p w14:paraId="0BE50983" w14:textId="77777777" w:rsidR="00F302C1" w:rsidRDefault="00F302C1" w:rsidP="00215B92">
      <w:pPr>
        <w:ind w:firstLine="708"/>
      </w:pPr>
    </w:p>
    <w:p w14:paraId="6CAAA514" w14:textId="77777777" w:rsidR="00F302C1" w:rsidRDefault="00F302C1" w:rsidP="00215B92">
      <w:pPr>
        <w:ind w:firstLine="708"/>
      </w:pPr>
    </w:p>
    <w:p w14:paraId="698BDCD6" w14:textId="77777777" w:rsidR="00F302C1" w:rsidRDefault="00F302C1" w:rsidP="00215B92">
      <w:pPr>
        <w:ind w:firstLine="708"/>
      </w:pPr>
    </w:p>
    <w:p w14:paraId="35A3DF3A" w14:textId="77777777" w:rsidR="00F302C1" w:rsidRDefault="00F302C1" w:rsidP="00215B92">
      <w:pPr>
        <w:ind w:firstLine="708"/>
      </w:pPr>
    </w:p>
    <w:p w14:paraId="6AB7739B" w14:textId="77777777" w:rsidR="00F302C1" w:rsidRDefault="00F302C1" w:rsidP="00215B92">
      <w:pPr>
        <w:ind w:firstLine="708"/>
      </w:pPr>
    </w:p>
    <w:p w14:paraId="1ADB02B6" w14:textId="77777777" w:rsidR="00F302C1" w:rsidRDefault="00F302C1" w:rsidP="00215B92">
      <w:pPr>
        <w:ind w:firstLine="708"/>
      </w:pPr>
    </w:p>
    <w:p w14:paraId="5F03CE31" w14:textId="77777777" w:rsidR="00F302C1" w:rsidRDefault="00F302C1" w:rsidP="00215B92">
      <w:pPr>
        <w:ind w:firstLine="708"/>
      </w:pPr>
    </w:p>
    <w:p w14:paraId="300A11FB" w14:textId="77777777" w:rsidR="00F302C1" w:rsidRDefault="00F302C1" w:rsidP="00215B92">
      <w:pPr>
        <w:ind w:firstLine="708"/>
      </w:pPr>
    </w:p>
    <w:p w14:paraId="0D609E68" w14:textId="77777777" w:rsidR="00372F40" w:rsidRDefault="00372F40"/>
    <w:p w14:paraId="07BE577E" w14:textId="77777777" w:rsidR="006F0A08" w:rsidRDefault="006F0A08" w:rsidP="00420656">
      <w:pPr>
        <w:pStyle w:val="Texto"/>
        <w:tabs>
          <w:tab w:val="left" w:pos="284"/>
        </w:tabs>
        <w:spacing w:after="0" w:line="276" w:lineRule="auto"/>
        <w:ind w:left="284" w:firstLine="0"/>
        <w:jc w:val="center"/>
        <w:rPr>
          <w:b/>
          <w:szCs w:val="18"/>
          <w:lang w:val="es-MX"/>
        </w:rPr>
      </w:pPr>
    </w:p>
    <w:p w14:paraId="2C2F38CB" w14:textId="77777777" w:rsidR="006F0A08" w:rsidRDefault="006F0A08" w:rsidP="00420656">
      <w:pPr>
        <w:pStyle w:val="Texto"/>
        <w:tabs>
          <w:tab w:val="left" w:pos="284"/>
        </w:tabs>
        <w:spacing w:after="0" w:line="276" w:lineRule="auto"/>
        <w:ind w:left="284" w:firstLine="0"/>
        <w:jc w:val="center"/>
        <w:rPr>
          <w:b/>
          <w:szCs w:val="18"/>
          <w:lang w:val="es-MX"/>
        </w:rPr>
      </w:pPr>
    </w:p>
    <w:p w14:paraId="2AA28A2E" w14:textId="77777777" w:rsidR="006F0A08" w:rsidRDefault="006F0A08" w:rsidP="00420656">
      <w:pPr>
        <w:pStyle w:val="Texto"/>
        <w:tabs>
          <w:tab w:val="left" w:pos="284"/>
        </w:tabs>
        <w:spacing w:after="0" w:line="276" w:lineRule="auto"/>
        <w:ind w:left="284" w:firstLine="0"/>
        <w:jc w:val="center"/>
        <w:rPr>
          <w:b/>
          <w:szCs w:val="18"/>
          <w:lang w:val="es-MX"/>
        </w:rPr>
      </w:pPr>
    </w:p>
    <w:p w14:paraId="389BD6A9" w14:textId="77777777" w:rsidR="006F0A08" w:rsidRDefault="006F0A08" w:rsidP="00420656">
      <w:pPr>
        <w:pStyle w:val="Texto"/>
        <w:tabs>
          <w:tab w:val="left" w:pos="284"/>
        </w:tabs>
        <w:spacing w:after="0" w:line="276" w:lineRule="auto"/>
        <w:ind w:left="284" w:firstLine="0"/>
        <w:jc w:val="center"/>
        <w:rPr>
          <w:b/>
          <w:szCs w:val="18"/>
          <w:lang w:val="es-MX"/>
        </w:rPr>
      </w:pPr>
    </w:p>
    <w:p w14:paraId="4D86E3F7" w14:textId="77777777" w:rsidR="006F0A08" w:rsidRDefault="006F0A08" w:rsidP="00420656">
      <w:pPr>
        <w:pStyle w:val="Texto"/>
        <w:tabs>
          <w:tab w:val="left" w:pos="284"/>
        </w:tabs>
        <w:spacing w:after="0" w:line="276" w:lineRule="auto"/>
        <w:ind w:left="284" w:firstLine="0"/>
        <w:jc w:val="center"/>
        <w:rPr>
          <w:b/>
          <w:szCs w:val="18"/>
          <w:lang w:val="es-MX"/>
        </w:rPr>
      </w:pPr>
    </w:p>
    <w:p w14:paraId="504FA4FF" w14:textId="77777777" w:rsidR="008C10B0" w:rsidRDefault="008C10B0" w:rsidP="008C10B0">
      <w:pPr>
        <w:pStyle w:val="Texto"/>
        <w:tabs>
          <w:tab w:val="left" w:pos="284"/>
        </w:tabs>
        <w:spacing w:after="0" w:line="276" w:lineRule="auto"/>
        <w:ind w:left="284" w:firstLine="0"/>
        <w:jc w:val="center"/>
        <w:rPr>
          <w:b/>
          <w:szCs w:val="18"/>
          <w:lang w:val="es-MX"/>
        </w:rPr>
      </w:pPr>
    </w:p>
    <w:p w14:paraId="1A799DCF" w14:textId="77777777" w:rsidR="008C10B0" w:rsidRDefault="008C10B0" w:rsidP="008C10B0">
      <w:pPr>
        <w:spacing w:after="0"/>
        <w:jc w:val="center"/>
        <w:rPr>
          <w:rFonts w:ascii="Arial" w:hAnsi="Arial" w:cs="Arial"/>
          <w:sz w:val="18"/>
          <w:szCs w:val="18"/>
        </w:rPr>
      </w:pPr>
      <w:r w:rsidRPr="00661A17">
        <w:rPr>
          <w:rFonts w:ascii="Arial" w:hAnsi="Arial" w:cs="Arial"/>
          <w:sz w:val="18"/>
          <w:szCs w:val="18"/>
        </w:rPr>
        <w:t>Informe de Pasivos Contingentes</w:t>
      </w:r>
    </w:p>
    <w:p w14:paraId="46A7D981" w14:textId="77777777" w:rsidR="008C10B0" w:rsidRDefault="008C10B0" w:rsidP="008C10B0">
      <w:pPr>
        <w:spacing w:after="0"/>
        <w:rPr>
          <w:rFonts w:ascii="Arial" w:hAnsi="Arial" w:cs="Arial"/>
          <w:sz w:val="18"/>
          <w:szCs w:val="18"/>
        </w:rPr>
      </w:pPr>
    </w:p>
    <w:p w14:paraId="304FF265" w14:textId="77777777" w:rsidR="008C10B0" w:rsidRDefault="008C10B0" w:rsidP="008C10B0">
      <w:pPr>
        <w:spacing w:after="0"/>
        <w:rPr>
          <w:rFonts w:ascii="Arial" w:hAnsi="Arial" w:cs="Arial"/>
          <w:sz w:val="18"/>
          <w:szCs w:val="18"/>
        </w:rPr>
      </w:pPr>
    </w:p>
    <w:p w14:paraId="0612DFF1" w14:textId="77777777" w:rsidR="008C10B0" w:rsidRDefault="008C10B0" w:rsidP="008C10B0">
      <w:pPr>
        <w:spacing w:after="0"/>
        <w:rPr>
          <w:rFonts w:ascii="Arial" w:hAnsi="Arial" w:cs="Arial"/>
          <w:sz w:val="18"/>
          <w:szCs w:val="18"/>
        </w:rPr>
      </w:pPr>
    </w:p>
    <w:p w14:paraId="1D25CC76" w14:textId="4D27AAEA" w:rsidR="008C10B0" w:rsidRDefault="008C10B0" w:rsidP="008C10B0">
      <w:pPr>
        <w:pStyle w:val="Texto"/>
        <w:tabs>
          <w:tab w:val="left" w:pos="284"/>
        </w:tabs>
        <w:spacing w:after="0" w:line="276" w:lineRule="auto"/>
        <w:ind w:left="284" w:firstLine="0"/>
        <w:jc w:val="center"/>
        <w:rPr>
          <w:b/>
          <w:szCs w:val="18"/>
          <w:lang w:val="es-MX"/>
        </w:rPr>
      </w:pPr>
      <w:r>
        <w:rPr>
          <w:szCs w:val="18"/>
        </w:rPr>
        <w:t xml:space="preserve">Al mes de </w:t>
      </w:r>
      <w:r w:rsidR="00221765">
        <w:rPr>
          <w:szCs w:val="18"/>
        </w:rPr>
        <w:t>septiembre</w:t>
      </w:r>
      <w:r w:rsidR="00B556D9">
        <w:rPr>
          <w:szCs w:val="18"/>
        </w:rPr>
        <w:t xml:space="preserve"> de 202</w:t>
      </w:r>
      <w:r w:rsidR="00A031F9">
        <w:rPr>
          <w:szCs w:val="18"/>
        </w:rPr>
        <w:t>5</w:t>
      </w:r>
      <w:r w:rsidR="00B556D9">
        <w:rPr>
          <w:szCs w:val="18"/>
        </w:rPr>
        <w:t xml:space="preserve"> </w:t>
      </w:r>
      <w:r>
        <w:rPr>
          <w:szCs w:val="18"/>
        </w:rPr>
        <w:t>el Poder Ejecutivo del Estado</w:t>
      </w:r>
      <w:r w:rsidR="00B556D9">
        <w:rPr>
          <w:szCs w:val="18"/>
        </w:rPr>
        <w:t>,</w:t>
      </w:r>
      <w:r>
        <w:rPr>
          <w:szCs w:val="18"/>
        </w:rPr>
        <w:t xml:space="preserve"> no cuenta con Pasivos Contingentes</w:t>
      </w:r>
      <w:r w:rsidRPr="00AE47E9">
        <w:rPr>
          <w:szCs w:val="18"/>
        </w:rPr>
        <w:t>.</w:t>
      </w:r>
    </w:p>
    <w:p w14:paraId="4E218F47" w14:textId="77777777" w:rsidR="008C10B0" w:rsidRDefault="008C10B0" w:rsidP="008C10B0">
      <w:pPr>
        <w:pStyle w:val="Texto"/>
        <w:tabs>
          <w:tab w:val="left" w:pos="284"/>
        </w:tabs>
        <w:spacing w:after="0" w:line="276" w:lineRule="auto"/>
        <w:ind w:left="284" w:firstLine="0"/>
        <w:jc w:val="center"/>
        <w:rPr>
          <w:b/>
          <w:szCs w:val="18"/>
          <w:lang w:val="es-MX"/>
        </w:rPr>
      </w:pPr>
    </w:p>
    <w:p w14:paraId="78826A69" w14:textId="77777777" w:rsidR="008C10B0" w:rsidRDefault="008C10B0" w:rsidP="008C10B0">
      <w:pPr>
        <w:pStyle w:val="Texto"/>
        <w:tabs>
          <w:tab w:val="left" w:pos="284"/>
        </w:tabs>
        <w:spacing w:after="0" w:line="276" w:lineRule="auto"/>
        <w:ind w:left="284" w:firstLine="0"/>
        <w:jc w:val="center"/>
        <w:rPr>
          <w:b/>
          <w:szCs w:val="18"/>
          <w:lang w:val="es-MX"/>
        </w:rPr>
      </w:pPr>
    </w:p>
    <w:p w14:paraId="3E393342" w14:textId="77777777" w:rsidR="008C10B0" w:rsidRDefault="008C10B0" w:rsidP="008C10B0">
      <w:pPr>
        <w:pStyle w:val="Texto"/>
        <w:tabs>
          <w:tab w:val="left" w:pos="284"/>
        </w:tabs>
        <w:spacing w:after="0" w:line="276" w:lineRule="auto"/>
        <w:ind w:left="284" w:firstLine="0"/>
        <w:jc w:val="center"/>
        <w:rPr>
          <w:b/>
          <w:szCs w:val="18"/>
          <w:lang w:val="es-MX"/>
        </w:rPr>
      </w:pPr>
    </w:p>
    <w:p w14:paraId="33704138" w14:textId="77777777" w:rsidR="008C10B0" w:rsidRDefault="008C10B0" w:rsidP="008C10B0">
      <w:pPr>
        <w:pStyle w:val="Texto"/>
        <w:tabs>
          <w:tab w:val="left" w:pos="284"/>
        </w:tabs>
        <w:spacing w:after="0" w:line="276" w:lineRule="auto"/>
        <w:ind w:left="284" w:firstLine="0"/>
        <w:jc w:val="center"/>
        <w:rPr>
          <w:b/>
          <w:szCs w:val="18"/>
          <w:lang w:val="es-MX"/>
        </w:rPr>
      </w:pPr>
    </w:p>
    <w:p w14:paraId="7482DDCD" w14:textId="77777777" w:rsidR="008C10B0" w:rsidRDefault="008C10B0" w:rsidP="008C10B0">
      <w:pPr>
        <w:pStyle w:val="Texto"/>
        <w:tabs>
          <w:tab w:val="left" w:pos="284"/>
        </w:tabs>
        <w:spacing w:after="0" w:line="276" w:lineRule="auto"/>
        <w:ind w:left="284" w:firstLine="0"/>
        <w:jc w:val="center"/>
        <w:rPr>
          <w:b/>
          <w:szCs w:val="18"/>
          <w:lang w:val="es-MX"/>
        </w:rPr>
      </w:pPr>
    </w:p>
    <w:p w14:paraId="5B840738" w14:textId="77777777" w:rsidR="008C10B0" w:rsidRDefault="008C10B0" w:rsidP="008C10B0">
      <w:pPr>
        <w:pStyle w:val="Texto"/>
        <w:tabs>
          <w:tab w:val="left" w:pos="284"/>
        </w:tabs>
        <w:spacing w:after="0" w:line="276" w:lineRule="auto"/>
        <w:ind w:left="284" w:firstLine="0"/>
        <w:jc w:val="center"/>
        <w:rPr>
          <w:b/>
          <w:szCs w:val="18"/>
          <w:lang w:val="es-MX"/>
        </w:rPr>
      </w:pPr>
    </w:p>
    <w:p w14:paraId="7315D206" w14:textId="77777777" w:rsidR="008C10B0" w:rsidRDefault="008C10B0" w:rsidP="008C10B0">
      <w:pPr>
        <w:pStyle w:val="Texto"/>
        <w:tabs>
          <w:tab w:val="left" w:pos="284"/>
        </w:tabs>
        <w:spacing w:after="0" w:line="276" w:lineRule="auto"/>
        <w:ind w:left="284" w:firstLine="0"/>
        <w:jc w:val="center"/>
        <w:rPr>
          <w:b/>
          <w:szCs w:val="18"/>
          <w:lang w:val="es-MX"/>
        </w:rPr>
      </w:pPr>
    </w:p>
    <w:p w14:paraId="2727127D" w14:textId="77777777" w:rsidR="008C10B0" w:rsidRDefault="008C10B0" w:rsidP="008C10B0">
      <w:pPr>
        <w:pStyle w:val="Texto"/>
        <w:tabs>
          <w:tab w:val="left" w:pos="284"/>
        </w:tabs>
        <w:spacing w:after="0" w:line="276" w:lineRule="auto"/>
        <w:ind w:left="284" w:firstLine="0"/>
        <w:jc w:val="center"/>
        <w:rPr>
          <w:b/>
          <w:szCs w:val="18"/>
          <w:lang w:val="es-MX"/>
        </w:rPr>
      </w:pPr>
    </w:p>
    <w:p w14:paraId="20FD04E0" w14:textId="77777777" w:rsidR="008C10B0" w:rsidRDefault="008C10B0" w:rsidP="008C10B0">
      <w:pPr>
        <w:pStyle w:val="Texto"/>
        <w:tabs>
          <w:tab w:val="left" w:pos="284"/>
        </w:tabs>
        <w:spacing w:after="0" w:line="276" w:lineRule="auto"/>
        <w:ind w:left="284" w:firstLine="0"/>
        <w:jc w:val="center"/>
        <w:rPr>
          <w:b/>
          <w:szCs w:val="18"/>
          <w:lang w:val="es-MX"/>
        </w:rPr>
      </w:pPr>
    </w:p>
    <w:p w14:paraId="25B0D972" w14:textId="77777777" w:rsidR="008C10B0" w:rsidRDefault="008C10B0" w:rsidP="008C10B0">
      <w:pPr>
        <w:pStyle w:val="Texto"/>
        <w:tabs>
          <w:tab w:val="left" w:pos="284"/>
        </w:tabs>
        <w:spacing w:after="0" w:line="276" w:lineRule="auto"/>
        <w:ind w:left="284" w:firstLine="0"/>
        <w:jc w:val="center"/>
        <w:rPr>
          <w:b/>
          <w:szCs w:val="18"/>
          <w:lang w:val="es-MX"/>
        </w:rPr>
      </w:pPr>
    </w:p>
    <w:p w14:paraId="0C92BC9D" w14:textId="77777777" w:rsidR="008C10B0" w:rsidRDefault="008C10B0" w:rsidP="008C10B0">
      <w:pPr>
        <w:pStyle w:val="Texto"/>
        <w:tabs>
          <w:tab w:val="left" w:pos="284"/>
        </w:tabs>
        <w:spacing w:after="0" w:line="276" w:lineRule="auto"/>
        <w:ind w:left="284" w:firstLine="0"/>
        <w:jc w:val="center"/>
        <w:rPr>
          <w:b/>
          <w:szCs w:val="18"/>
          <w:lang w:val="es-MX"/>
        </w:rPr>
      </w:pPr>
    </w:p>
    <w:p w14:paraId="745A9079" w14:textId="77777777" w:rsidR="008C10B0" w:rsidRDefault="008C10B0" w:rsidP="008C10B0">
      <w:pPr>
        <w:pStyle w:val="Texto"/>
        <w:tabs>
          <w:tab w:val="left" w:pos="284"/>
        </w:tabs>
        <w:spacing w:after="0" w:line="276" w:lineRule="auto"/>
        <w:ind w:left="284" w:firstLine="0"/>
        <w:jc w:val="center"/>
        <w:rPr>
          <w:b/>
          <w:szCs w:val="18"/>
          <w:lang w:val="es-MX"/>
        </w:rPr>
      </w:pPr>
    </w:p>
    <w:p w14:paraId="51657010" w14:textId="77777777" w:rsidR="008C10B0" w:rsidRDefault="008C10B0" w:rsidP="008C10B0">
      <w:pPr>
        <w:pStyle w:val="Texto"/>
        <w:tabs>
          <w:tab w:val="left" w:pos="284"/>
        </w:tabs>
        <w:spacing w:after="0" w:line="276" w:lineRule="auto"/>
        <w:ind w:left="284" w:firstLine="0"/>
        <w:jc w:val="center"/>
        <w:rPr>
          <w:b/>
          <w:szCs w:val="18"/>
          <w:lang w:val="es-MX"/>
        </w:rPr>
      </w:pPr>
    </w:p>
    <w:p w14:paraId="3B88E443" w14:textId="77777777" w:rsidR="008C10B0" w:rsidRDefault="008C10B0" w:rsidP="008C10B0">
      <w:pPr>
        <w:pStyle w:val="Texto"/>
        <w:tabs>
          <w:tab w:val="left" w:pos="284"/>
        </w:tabs>
        <w:spacing w:after="0" w:line="276" w:lineRule="auto"/>
        <w:ind w:left="284" w:firstLine="0"/>
        <w:jc w:val="center"/>
        <w:rPr>
          <w:b/>
          <w:szCs w:val="18"/>
          <w:lang w:val="es-MX"/>
        </w:rPr>
      </w:pPr>
    </w:p>
    <w:p w14:paraId="0DA9BF00" w14:textId="77777777" w:rsidR="008C10B0" w:rsidRDefault="008C10B0" w:rsidP="008C10B0">
      <w:pPr>
        <w:pStyle w:val="Texto"/>
        <w:tabs>
          <w:tab w:val="left" w:pos="284"/>
        </w:tabs>
        <w:spacing w:after="0" w:line="276" w:lineRule="auto"/>
        <w:ind w:left="284" w:firstLine="0"/>
        <w:jc w:val="center"/>
        <w:rPr>
          <w:b/>
          <w:szCs w:val="18"/>
          <w:lang w:val="es-MX"/>
        </w:rPr>
      </w:pPr>
    </w:p>
    <w:p w14:paraId="4411229D" w14:textId="77777777" w:rsidR="008C10B0" w:rsidRDefault="008C10B0" w:rsidP="008C10B0">
      <w:pPr>
        <w:pStyle w:val="Texto"/>
        <w:tabs>
          <w:tab w:val="left" w:pos="284"/>
        </w:tabs>
        <w:spacing w:after="0" w:line="276" w:lineRule="auto"/>
        <w:ind w:left="284" w:firstLine="0"/>
        <w:jc w:val="center"/>
        <w:rPr>
          <w:b/>
          <w:szCs w:val="18"/>
          <w:lang w:val="es-MX"/>
        </w:rPr>
      </w:pPr>
    </w:p>
    <w:p w14:paraId="6069C30A" w14:textId="77777777" w:rsidR="008C10B0" w:rsidRDefault="008C10B0" w:rsidP="008C10B0">
      <w:pPr>
        <w:pStyle w:val="Texto"/>
        <w:tabs>
          <w:tab w:val="left" w:pos="284"/>
        </w:tabs>
        <w:spacing w:after="0" w:line="276" w:lineRule="auto"/>
        <w:ind w:left="284" w:firstLine="0"/>
        <w:jc w:val="center"/>
        <w:rPr>
          <w:b/>
          <w:szCs w:val="18"/>
          <w:lang w:val="es-MX"/>
        </w:rPr>
      </w:pPr>
    </w:p>
    <w:p w14:paraId="546C46F3" w14:textId="77777777" w:rsidR="008C10B0" w:rsidRDefault="008C10B0" w:rsidP="008C10B0">
      <w:pPr>
        <w:pStyle w:val="Texto"/>
        <w:tabs>
          <w:tab w:val="left" w:pos="284"/>
        </w:tabs>
        <w:spacing w:after="0" w:line="276" w:lineRule="auto"/>
        <w:ind w:left="284" w:firstLine="0"/>
        <w:jc w:val="center"/>
        <w:rPr>
          <w:b/>
          <w:szCs w:val="18"/>
          <w:lang w:val="es-MX"/>
        </w:rPr>
      </w:pPr>
    </w:p>
    <w:p w14:paraId="58EABCD4" w14:textId="77777777" w:rsidR="008C10B0" w:rsidRDefault="008C10B0" w:rsidP="008C10B0">
      <w:pPr>
        <w:pStyle w:val="Texto"/>
        <w:tabs>
          <w:tab w:val="left" w:pos="284"/>
        </w:tabs>
        <w:spacing w:after="0" w:line="276" w:lineRule="auto"/>
        <w:ind w:left="284" w:firstLine="0"/>
        <w:jc w:val="center"/>
        <w:rPr>
          <w:b/>
          <w:szCs w:val="18"/>
          <w:lang w:val="es-MX"/>
        </w:rPr>
      </w:pPr>
    </w:p>
    <w:p w14:paraId="405B0814" w14:textId="77777777" w:rsidR="008C10B0" w:rsidRDefault="008C10B0" w:rsidP="008C10B0">
      <w:pPr>
        <w:pStyle w:val="Texto"/>
        <w:tabs>
          <w:tab w:val="left" w:pos="284"/>
        </w:tabs>
        <w:spacing w:after="0" w:line="276" w:lineRule="auto"/>
        <w:ind w:left="284" w:firstLine="0"/>
        <w:jc w:val="center"/>
        <w:rPr>
          <w:b/>
          <w:szCs w:val="18"/>
          <w:lang w:val="es-MX"/>
        </w:rPr>
      </w:pPr>
    </w:p>
    <w:p w14:paraId="7F51B2CA" w14:textId="77777777" w:rsidR="008C10B0" w:rsidRDefault="008C10B0" w:rsidP="008C10B0">
      <w:pPr>
        <w:pStyle w:val="Texto"/>
        <w:tabs>
          <w:tab w:val="left" w:pos="284"/>
        </w:tabs>
        <w:spacing w:after="0" w:line="276" w:lineRule="auto"/>
        <w:ind w:left="284" w:firstLine="0"/>
        <w:jc w:val="center"/>
        <w:rPr>
          <w:b/>
          <w:szCs w:val="18"/>
          <w:lang w:val="es-MX"/>
        </w:rPr>
      </w:pPr>
    </w:p>
    <w:p w14:paraId="7C44F32E" w14:textId="77777777" w:rsidR="008C10B0" w:rsidRDefault="008C10B0" w:rsidP="008C10B0">
      <w:pPr>
        <w:pStyle w:val="Texto"/>
        <w:tabs>
          <w:tab w:val="left" w:pos="284"/>
        </w:tabs>
        <w:spacing w:after="0" w:line="276" w:lineRule="auto"/>
        <w:ind w:left="284" w:firstLine="0"/>
        <w:jc w:val="center"/>
        <w:rPr>
          <w:b/>
          <w:szCs w:val="18"/>
          <w:lang w:val="es-MX"/>
        </w:rPr>
      </w:pPr>
    </w:p>
    <w:p w14:paraId="7C321907" w14:textId="77777777" w:rsidR="008C10B0" w:rsidRDefault="008C10B0" w:rsidP="008C10B0">
      <w:pPr>
        <w:pStyle w:val="Texto"/>
        <w:tabs>
          <w:tab w:val="left" w:pos="284"/>
        </w:tabs>
        <w:spacing w:after="0" w:line="276" w:lineRule="auto"/>
        <w:ind w:left="284" w:firstLine="0"/>
        <w:jc w:val="center"/>
        <w:rPr>
          <w:b/>
          <w:szCs w:val="18"/>
          <w:lang w:val="es-MX"/>
        </w:rPr>
      </w:pPr>
    </w:p>
    <w:p w14:paraId="28F72259" w14:textId="77777777" w:rsidR="008C10B0" w:rsidRDefault="008C10B0" w:rsidP="008C10B0">
      <w:pPr>
        <w:pStyle w:val="Texto"/>
        <w:tabs>
          <w:tab w:val="left" w:pos="284"/>
        </w:tabs>
        <w:spacing w:after="0" w:line="276" w:lineRule="auto"/>
        <w:ind w:left="284" w:firstLine="0"/>
        <w:jc w:val="center"/>
        <w:rPr>
          <w:b/>
          <w:szCs w:val="18"/>
          <w:lang w:val="es-MX"/>
        </w:rPr>
      </w:pPr>
    </w:p>
    <w:p w14:paraId="2BED6D1A" w14:textId="77777777" w:rsidR="008C10B0" w:rsidRDefault="008C10B0" w:rsidP="008C10B0">
      <w:pPr>
        <w:pStyle w:val="Texto"/>
        <w:tabs>
          <w:tab w:val="left" w:pos="284"/>
        </w:tabs>
        <w:spacing w:after="0" w:line="276" w:lineRule="auto"/>
        <w:ind w:left="284" w:firstLine="0"/>
        <w:jc w:val="center"/>
        <w:rPr>
          <w:b/>
          <w:szCs w:val="18"/>
          <w:lang w:val="es-MX"/>
        </w:rPr>
      </w:pPr>
    </w:p>
    <w:p w14:paraId="4E7F3DD6" w14:textId="77777777" w:rsidR="008C10B0" w:rsidRDefault="008C10B0" w:rsidP="008C10B0">
      <w:pPr>
        <w:pStyle w:val="Texto"/>
        <w:tabs>
          <w:tab w:val="left" w:pos="284"/>
        </w:tabs>
        <w:spacing w:after="0" w:line="276" w:lineRule="auto"/>
        <w:ind w:left="284" w:firstLine="0"/>
        <w:jc w:val="center"/>
        <w:rPr>
          <w:b/>
          <w:szCs w:val="18"/>
          <w:lang w:val="es-MX"/>
        </w:rPr>
      </w:pPr>
    </w:p>
    <w:p w14:paraId="027407D9" w14:textId="77777777" w:rsidR="008C10B0" w:rsidRDefault="008C10B0" w:rsidP="008C10B0">
      <w:pPr>
        <w:pStyle w:val="Texto"/>
        <w:tabs>
          <w:tab w:val="left" w:pos="284"/>
        </w:tabs>
        <w:spacing w:after="0" w:line="276" w:lineRule="auto"/>
        <w:ind w:left="284" w:firstLine="0"/>
        <w:jc w:val="center"/>
        <w:rPr>
          <w:b/>
          <w:szCs w:val="18"/>
          <w:lang w:val="es-MX"/>
        </w:rPr>
      </w:pPr>
    </w:p>
    <w:p w14:paraId="385DBFC9" w14:textId="77777777" w:rsidR="008C10B0" w:rsidRDefault="008C10B0" w:rsidP="008C10B0">
      <w:pPr>
        <w:pStyle w:val="Texto"/>
        <w:tabs>
          <w:tab w:val="left" w:pos="284"/>
        </w:tabs>
        <w:spacing w:after="0" w:line="276" w:lineRule="auto"/>
        <w:ind w:left="284" w:firstLine="0"/>
        <w:jc w:val="center"/>
        <w:rPr>
          <w:b/>
          <w:szCs w:val="18"/>
          <w:lang w:val="es-MX"/>
        </w:rPr>
      </w:pPr>
    </w:p>
    <w:p w14:paraId="7F936573" w14:textId="77777777" w:rsidR="008C10B0" w:rsidRDefault="008C10B0" w:rsidP="008C10B0">
      <w:pPr>
        <w:pStyle w:val="Texto"/>
        <w:tabs>
          <w:tab w:val="left" w:pos="284"/>
        </w:tabs>
        <w:spacing w:after="0" w:line="276" w:lineRule="auto"/>
        <w:ind w:left="284" w:firstLine="0"/>
        <w:jc w:val="center"/>
        <w:rPr>
          <w:b/>
          <w:szCs w:val="18"/>
          <w:lang w:val="es-MX"/>
        </w:rPr>
      </w:pPr>
    </w:p>
    <w:p w14:paraId="54A7DF0B" w14:textId="77777777" w:rsidR="008C10B0" w:rsidRDefault="008C10B0" w:rsidP="008C10B0">
      <w:pPr>
        <w:pStyle w:val="Texto"/>
        <w:tabs>
          <w:tab w:val="left" w:pos="284"/>
        </w:tabs>
        <w:spacing w:after="0" w:line="276" w:lineRule="auto"/>
        <w:ind w:left="284" w:firstLine="0"/>
        <w:jc w:val="center"/>
        <w:rPr>
          <w:b/>
          <w:szCs w:val="18"/>
          <w:lang w:val="es-MX"/>
        </w:rPr>
      </w:pPr>
    </w:p>
    <w:p w14:paraId="472482FC" w14:textId="77777777" w:rsidR="008C10B0" w:rsidRDefault="008C10B0" w:rsidP="008C10B0">
      <w:pPr>
        <w:pStyle w:val="Texto"/>
        <w:tabs>
          <w:tab w:val="left" w:pos="284"/>
        </w:tabs>
        <w:spacing w:after="0" w:line="276" w:lineRule="auto"/>
        <w:ind w:left="284" w:firstLine="0"/>
        <w:jc w:val="center"/>
        <w:rPr>
          <w:b/>
          <w:szCs w:val="18"/>
          <w:lang w:val="es-MX"/>
        </w:rPr>
      </w:pPr>
    </w:p>
    <w:p w14:paraId="5EC1DD27" w14:textId="77777777" w:rsidR="008C10B0" w:rsidRDefault="008C10B0" w:rsidP="008C10B0">
      <w:pPr>
        <w:pStyle w:val="Texto"/>
        <w:tabs>
          <w:tab w:val="left" w:pos="284"/>
        </w:tabs>
        <w:spacing w:after="0" w:line="276" w:lineRule="auto"/>
        <w:ind w:left="284" w:firstLine="0"/>
        <w:jc w:val="center"/>
        <w:rPr>
          <w:b/>
          <w:szCs w:val="18"/>
          <w:lang w:val="es-MX"/>
        </w:rPr>
      </w:pPr>
    </w:p>
    <w:p w14:paraId="4E4E18AE" w14:textId="77777777" w:rsidR="008C10B0" w:rsidRDefault="008C10B0" w:rsidP="008C10B0">
      <w:pPr>
        <w:pStyle w:val="Texto"/>
        <w:tabs>
          <w:tab w:val="left" w:pos="284"/>
        </w:tabs>
        <w:spacing w:after="0" w:line="276" w:lineRule="auto"/>
        <w:ind w:left="284" w:firstLine="0"/>
        <w:jc w:val="center"/>
        <w:rPr>
          <w:b/>
          <w:szCs w:val="18"/>
          <w:lang w:val="es-MX"/>
        </w:rPr>
      </w:pPr>
    </w:p>
    <w:p w14:paraId="25159A30" w14:textId="77777777" w:rsidR="008C10B0" w:rsidRDefault="008C10B0" w:rsidP="008C10B0">
      <w:pPr>
        <w:pStyle w:val="Texto"/>
        <w:tabs>
          <w:tab w:val="left" w:pos="284"/>
        </w:tabs>
        <w:spacing w:after="0" w:line="276" w:lineRule="auto"/>
        <w:ind w:left="284" w:firstLine="0"/>
        <w:jc w:val="center"/>
        <w:rPr>
          <w:b/>
          <w:szCs w:val="18"/>
          <w:lang w:val="es-MX"/>
        </w:rPr>
      </w:pPr>
    </w:p>
    <w:p w14:paraId="48C8E826" w14:textId="77777777" w:rsidR="008C10B0" w:rsidRDefault="008C10B0" w:rsidP="008C10B0">
      <w:pPr>
        <w:pStyle w:val="Texto"/>
        <w:tabs>
          <w:tab w:val="left" w:pos="284"/>
        </w:tabs>
        <w:spacing w:after="0" w:line="276" w:lineRule="auto"/>
        <w:ind w:left="284" w:firstLine="0"/>
        <w:jc w:val="center"/>
        <w:rPr>
          <w:b/>
          <w:szCs w:val="18"/>
          <w:lang w:val="es-MX"/>
        </w:rPr>
      </w:pPr>
    </w:p>
    <w:p w14:paraId="5E7EC2EF" w14:textId="77777777" w:rsidR="008C10B0" w:rsidRDefault="008C10B0" w:rsidP="008C10B0">
      <w:pPr>
        <w:pStyle w:val="Texto"/>
        <w:tabs>
          <w:tab w:val="left" w:pos="284"/>
        </w:tabs>
        <w:spacing w:after="0" w:line="276" w:lineRule="auto"/>
        <w:ind w:left="284" w:firstLine="0"/>
        <w:jc w:val="center"/>
        <w:rPr>
          <w:b/>
          <w:szCs w:val="18"/>
          <w:lang w:val="es-MX"/>
        </w:rPr>
      </w:pPr>
    </w:p>
    <w:p w14:paraId="40092F74" w14:textId="77777777" w:rsidR="008C10B0" w:rsidRDefault="008C10B0" w:rsidP="008C10B0">
      <w:pPr>
        <w:pStyle w:val="Texto"/>
        <w:tabs>
          <w:tab w:val="left" w:pos="284"/>
        </w:tabs>
        <w:spacing w:after="0" w:line="276" w:lineRule="auto"/>
        <w:ind w:left="284" w:firstLine="0"/>
        <w:jc w:val="center"/>
        <w:rPr>
          <w:b/>
          <w:szCs w:val="18"/>
          <w:lang w:val="es-MX"/>
        </w:rPr>
      </w:pPr>
    </w:p>
    <w:p w14:paraId="3B6E4CCF" w14:textId="77777777" w:rsidR="008C10B0" w:rsidRDefault="008C10B0" w:rsidP="008C10B0">
      <w:pPr>
        <w:pStyle w:val="Texto"/>
        <w:tabs>
          <w:tab w:val="left" w:pos="284"/>
        </w:tabs>
        <w:spacing w:after="0" w:line="276" w:lineRule="auto"/>
        <w:ind w:left="284" w:firstLine="0"/>
        <w:jc w:val="center"/>
        <w:rPr>
          <w:b/>
          <w:szCs w:val="18"/>
          <w:lang w:val="es-MX"/>
        </w:rPr>
      </w:pPr>
    </w:p>
    <w:p w14:paraId="1185689C" w14:textId="77777777" w:rsidR="008C10B0" w:rsidRDefault="008C10B0" w:rsidP="008C10B0">
      <w:pPr>
        <w:pStyle w:val="Texto"/>
        <w:tabs>
          <w:tab w:val="left" w:pos="284"/>
        </w:tabs>
        <w:spacing w:after="0" w:line="276" w:lineRule="auto"/>
        <w:ind w:left="284" w:firstLine="0"/>
        <w:jc w:val="center"/>
        <w:rPr>
          <w:b/>
          <w:szCs w:val="18"/>
          <w:lang w:val="es-MX"/>
        </w:rPr>
      </w:pPr>
    </w:p>
    <w:p w14:paraId="460AE01E" w14:textId="77777777" w:rsidR="008C10B0" w:rsidRDefault="008C10B0" w:rsidP="008C10B0">
      <w:pPr>
        <w:pStyle w:val="Texto"/>
        <w:tabs>
          <w:tab w:val="left" w:pos="284"/>
        </w:tabs>
        <w:spacing w:after="0" w:line="276" w:lineRule="auto"/>
        <w:ind w:left="284" w:firstLine="0"/>
        <w:jc w:val="center"/>
        <w:rPr>
          <w:b/>
          <w:szCs w:val="18"/>
          <w:lang w:val="es-MX"/>
        </w:rPr>
      </w:pPr>
    </w:p>
    <w:p w14:paraId="2A44C8A0" w14:textId="77777777" w:rsidR="008C10B0" w:rsidRDefault="008C10B0" w:rsidP="008C10B0">
      <w:pPr>
        <w:pStyle w:val="Texto"/>
        <w:tabs>
          <w:tab w:val="left" w:pos="284"/>
        </w:tabs>
        <w:spacing w:after="0" w:line="276" w:lineRule="auto"/>
        <w:ind w:left="284" w:firstLine="0"/>
        <w:jc w:val="center"/>
        <w:rPr>
          <w:b/>
          <w:szCs w:val="18"/>
          <w:lang w:val="es-MX"/>
        </w:rPr>
      </w:pPr>
    </w:p>
    <w:p w14:paraId="2BD160EB" w14:textId="77777777" w:rsidR="008C10B0" w:rsidRDefault="008C10B0" w:rsidP="008C10B0">
      <w:pPr>
        <w:pStyle w:val="Texto"/>
        <w:tabs>
          <w:tab w:val="left" w:pos="284"/>
        </w:tabs>
        <w:spacing w:after="0" w:line="276" w:lineRule="auto"/>
        <w:ind w:left="284" w:firstLine="0"/>
        <w:jc w:val="center"/>
        <w:rPr>
          <w:b/>
          <w:szCs w:val="18"/>
          <w:lang w:val="es-MX"/>
        </w:rPr>
      </w:pPr>
    </w:p>
    <w:p w14:paraId="1A7FD317" w14:textId="77777777" w:rsidR="008C10B0" w:rsidRDefault="008C10B0" w:rsidP="008C10B0">
      <w:pPr>
        <w:pStyle w:val="Texto"/>
        <w:tabs>
          <w:tab w:val="left" w:pos="284"/>
        </w:tabs>
        <w:spacing w:after="0" w:line="276" w:lineRule="auto"/>
        <w:ind w:left="284" w:firstLine="0"/>
        <w:jc w:val="center"/>
        <w:rPr>
          <w:b/>
          <w:szCs w:val="18"/>
          <w:lang w:val="es-MX"/>
        </w:rPr>
      </w:pPr>
    </w:p>
    <w:p w14:paraId="34D1EA47" w14:textId="77777777" w:rsidR="008C10B0" w:rsidRDefault="008C10B0" w:rsidP="008C10B0">
      <w:pPr>
        <w:pStyle w:val="Texto"/>
        <w:tabs>
          <w:tab w:val="left" w:pos="284"/>
        </w:tabs>
        <w:spacing w:after="0" w:line="276" w:lineRule="auto"/>
        <w:ind w:left="284" w:firstLine="0"/>
        <w:jc w:val="center"/>
        <w:rPr>
          <w:b/>
          <w:szCs w:val="18"/>
          <w:lang w:val="es-MX"/>
        </w:rPr>
      </w:pPr>
    </w:p>
    <w:p w14:paraId="74158639" w14:textId="77777777" w:rsidR="008C10B0" w:rsidRPr="0073056A" w:rsidRDefault="008C10B0" w:rsidP="008C10B0">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14:paraId="78CB3024" w14:textId="77777777" w:rsidR="008C10B0" w:rsidRDefault="008C10B0" w:rsidP="008C10B0">
      <w:pPr>
        <w:pStyle w:val="Texto"/>
        <w:tabs>
          <w:tab w:val="left" w:pos="284"/>
        </w:tabs>
        <w:spacing w:after="0" w:line="276" w:lineRule="auto"/>
        <w:ind w:left="284" w:firstLine="0"/>
        <w:rPr>
          <w:b/>
          <w:szCs w:val="18"/>
          <w:lang w:val="es-MX"/>
        </w:rPr>
      </w:pPr>
    </w:p>
    <w:p w14:paraId="2602C399" w14:textId="77777777" w:rsidR="008C10B0" w:rsidRPr="0073056A" w:rsidRDefault="008C10B0" w:rsidP="008C10B0">
      <w:pPr>
        <w:pStyle w:val="Texto"/>
        <w:tabs>
          <w:tab w:val="left" w:pos="284"/>
        </w:tabs>
        <w:spacing w:after="0" w:line="276" w:lineRule="auto"/>
        <w:ind w:left="284" w:firstLine="0"/>
        <w:rPr>
          <w:b/>
          <w:szCs w:val="18"/>
        </w:rPr>
      </w:pPr>
      <w:r w:rsidRPr="0073056A">
        <w:rPr>
          <w:b/>
          <w:szCs w:val="18"/>
          <w:lang w:val="es-MX"/>
        </w:rPr>
        <w:t>Introducción</w:t>
      </w:r>
    </w:p>
    <w:p w14:paraId="53169B6C" w14:textId="77777777" w:rsidR="008C10B0" w:rsidRPr="0073056A" w:rsidRDefault="008C10B0" w:rsidP="008C10B0">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14:paraId="25556C15" w14:textId="77777777" w:rsidR="008C10B0" w:rsidRPr="0073056A" w:rsidRDefault="008C10B0" w:rsidP="008C10B0">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14:paraId="5920200B" w14:textId="77777777" w:rsidR="008C10B0" w:rsidRDefault="008C10B0" w:rsidP="008C10B0">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14:paraId="407A2B99" w14:textId="77777777" w:rsidR="008C10B0" w:rsidRDefault="008C10B0" w:rsidP="008C10B0">
      <w:pPr>
        <w:pStyle w:val="Texto"/>
        <w:numPr>
          <w:ilvl w:val="0"/>
          <w:numId w:val="5"/>
        </w:numPr>
        <w:tabs>
          <w:tab w:val="left" w:pos="284"/>
        </w:tabs>
        <w:spacing w:after="0" w:line="276" w:lineRule="auto"/>
        <w:rPr>
          <w:b/>
          <w:szCs w:val="18"/>
          <w:lang w:val="es-MX"/>
        </w:rPr>
      </w:pPr>
      <w:r>
        <w:rPr>
          <w:b/>
          <w:szCs w:val="18"/>
          <w:lang w:val="es-MX"/>
        </w:rPr>
        <w:t>Autorización e Historia</w:t>
      </w:r>
    </w:p>
    <w:p w14:paraId="29E7721D"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El Estado de Tlaxcala es una de las </w:t>
      </w:r>
      <w:r w:rsidRPr="00E4317F">
        <w:rPr>
          <w:rFonts w:ascii="Arial" w:hAnsi="Arial" w:cs="Arial"/>
          <w:sz w:val="18"/>
          <w:szCs w:val="18"/>
        </w:rPr>
        <w:t>32 Entidades Federativas</w:t>
      </w:r>
      <w:r>
        <w:rPr>
          <w:rFonts w:ascii="Arial" w:hAnsi="Arial" w:cs="Arial"/>
          <w:sz w:val="18"/>
          <w:szCs w:val="18"/>
        </w:rPr>
        <w:t xml:space="preserve"> de </w:t>
      </w:r>
      <w:r w:rsidRPr="00E4317F">
        <w:rPr>
          <w:rFonts w:ascii="Arial" w:hAnsi="Arial" w:cs="Arial"/>
          <w:sz w:val="18"/>
          <w:szCs w:val="18"/>
        </w:rPr>
        <w:t>México</w:t>
      </w:r>
      <w:r>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14:paraId="2F117ABC"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14:paraId="4C9E3A9D"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r w:rsidRPr="00E4317F">
        <w:rPr>
          <w:rFonts w:ascii="Arial" w:hAnsi="Arial" w:cs="Arial"/>
          <w:sz w:val="18"/>
          <w:szCs w:val="18"/>
        </w:rPr>
        <w:t>Nueva España</w:t>
      </w:r>
      <w:r>
        <w:rPr>
          <w:rFonts w:ascii="Arial" w:hAnsi="Arial" w:cs="Arial"/>
          <w:sz w:val="18"/>
          <w:szCs w:val="18"/>
        </w:rPr>
        <w:t xml:space="preserve"> </w:t>
      </w:r>
      <w:r w:rsidRPr="00E4317F">
        <w:rPr>
          <w:rFonts w:ascii="Arial" w:hAnsi="Arial" w:cs="Arial"/>
          <w:sz w:val="18"/>
          <w:szCs w:val="18"/>
        </w:rPr>
        <w:t>Antonio de Mendoza</w:t>
      </w:r>
      <w:r>
        <w:rPr>
          <w:rFonts w:ascii="Arial" w:hAnsi="Arial" w:cs="Arial"/>
          <w:sz w:val="18"/>
          <w:szCs w:val="18"/>
        </w:rPr>
        <w:t>. La ciudad de Tlaxcala fue fundada en la primavera de 1522.</w:t>
      </w:r>
    </w:p>
    <w:p w14:paraId="6D3B7B57"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En el año de 1535 Tlaxcala se convierte en la primera ciudad acreedora del escudo de armas por el rey Felipe II junto con el título de “Muy noble y muy leal ciudad de Tlaxcala”.</w:t>
      </w:r>
    </w:p>
    <w:p w14:paraId="1DF79E6F"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El Estado de Tlaxcala es parte integrante de los Estados Unidos Mexicanos, es Libre y Soberano en lo concerniente a su régimen interior, para su organización política y administrativa se divide en 60 municipios, 8 Distritos Judiciales y 794 poblaciones.</w:t>
      </w:r>
    </w:p>
    <w:p w14:paraId="3F85DC78"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El estado se localiza en la parte centro-oriente del país. Limita en su mayor parte con </w:t>
      </w:r>
      <w:r w:rsidRPr="00E4317F">
        <w:rPr>
          <w:rFonts w:ascii="Arial" w:hAnsi="Arial" w:cs="Arial"/>
          <w:sz w:val="18"/>
          <w:szCs w:val="18"/>
        </w:rPr>
        <w:t>Puebla</w:t>
      </w:r>
      <w:r>
        <w:rPr>
          <w:rFonts w:ascii="Arial" w:hAnsi="Arial" w:cs="Arial"/>
          <w:sz w:val="18"/>
          <w:szCs w:val="18"/>
        </w:rPr>
        <w:t xml:space="preserve"> al norte, este y sur, al oeste con el </w:t>
      </w:r>
      <w:r w:rsidRPr="00E4317F">
        <w:rPr>
          <w:rFonts w:ascii="Arial" w:hAnsi="Arial" w:cs="Arial"/>
          <w:sz w:val="18"/>
          <w:szCs w:val="18"/>
        </w:rPr>
        <w:t>Estado de México</w:t>
      </w:r>
      <w:r>
        <w:rPr>
          <w:rFonts w:ascii="Arial" w:hAnsi="Arial" w:cs="Arial"/>
          <w:sz w:val="18"/>
          <w:szCs w:val="18"/>
        </w:rPr>
        <w:t xml:space="preserve"> y al noroeste con </w:t>
      </w:r>
      <w:r w:rsidRPr="00E4317F">
        <w:rPr>
          <w:rFonts w:ascii="Arial" w:hAnsi="Arial" w:cs="Arial"/>
          <w:sz w:val="18"/>
          <w:szCs w:val="18"/>
        </w:rPr>
        <w:t>Hidalgo</w:t>
      </w:r>
      <w:r>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14:paraId="0D67C0C3"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El Estado de Tlaxcala, cuenta con una superficie de 3,991 kilómetros cuadrados, lo cual representa el 0,2 % del territorio nacional.</w:t>
      </w:r>
    </w:p>
    <w:p w14:paraId="4905EA49" w14:textId="77777777" w:rsidR="00A11793" w:rsidRDefault="00A11793" w:rsidP="008C10B0">
      <w:pPr>
        <w:tabs>
          <w:tab w:val="left" w:pos="284"/>
        </w:tabs>
        <w:ind w:left="284"/>
        <w:jc w:val="both"/>
        <w:rPr>
          <w:rFonts w:ascii="Arial" w:hAnsi="Arial" w:cs="Arial"/>
          <w:sz w:val="18"/>
          <w:szCs w:val="18"/>
        </w:rPr>
      </w:pPr>
    </w:p>
    <w:p w14:paraId="605AB229" w14:textId="77777777" w:rsidR="008C10B0" w:rsidRPr="0073056A" w:rsidRDefault="008C10B0" w:rsidP="008C10B0">
      <w:pPr>
        <w:pStyle w:val="Texto"/>
        <w:tabs>
          <w:tab w:val="left" w:pos="284"/>
        </w:tabs>
        <w:spacing w:after="0" w:line="276" w:lineRule="auto"/>
        <w:ind w:left="284" w:firstLine="0"/>
        <w:rPr>
          <w:b/>
          <w:szCs w:val="18"/>
          <w:lang w:val="es-MX"/>
        </w:rPr>
      </w:pPr>
      <w:r>
        <w:rPr>
          <w:b/>
          <w:szCs w:val="18"/>
          <w:lang w:val="es-MX"/>
        </w:rPr>
        <w:lastRenderedPageBreak/>
        <w:t xml:space="preserve">2. </w:t>
      </w:r>
      <w:r w:rsidRPr="0073056A">
        <w:rPr>
          <w:b/>
          <w:szCs w:val="18"/>
          <w:lang w:val="es-MX"/>
        </w:rPr>
        <w:t>Panorama Económico y Financiero</w:t>
      </w:r>
    </w:p>
    <w:p w14:paraId="1271A703" w14:textId="77777777" w:rsidR="008C10B0" w:rsidRPr="00A74179" w:rsidRDefault="008C10B0" w:rsidP="008C10B0">
      <w:pPr>
        <w:tabs>
          <w:tab w:val="left" w:pos="284"/>
        </w:tabs>
        <w:ind w:left="284"/>
        <w:jc w:val="both"/>
        <w:rPr>
          <w:rFonts w:ascii="Arial" w:hAnsi="Arial" w:cs="Arial"/>
          <w:sz w:val="18"/>
          <w:szCs w:val="18"/>
        </w:rPr>
      </w:pPr>
      <w:r w:rsidRPr="00A74179">
        <w:rPr>
          <w:rFonts w:ascii="Arial" w:hAnsi="Arial" w:cs="Arial"/>
          <w:sz w:val="18"/>
          <w:szCs w:val="18"/>
        </w:rPr>
        <w:t>Estamos comprometidos a llevar al Estado de Tlaxcala a una transición hacia un nuevo régimen, en el que se incluirán cambios paulatinos en el andamiaje institucional, así como diversas acciones de gobierno, en donde el 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14:paraId="2D20E8F2" w14:textId="77777777" w:rsidR="008C10B0" w:rsidRPr="00A74179" w:rsidRDefault="008C10B0" w:rsidP="008C10B0">
      <w:pPr>
        <w:tabs>
          <w:tab w:val="left" w:pos="284"/>
        </w:tabs>
        <w:ind w:left="284"/>
        <w:jc w:val="both"/>
        <w:rPr>
          <w:rFonts w:ascii="Arial" w:hAnsi="Arial" w:cs="Arial"/>
          <w:sz w:val="18"/>
          <w:szCs w:val="18"/>
        </w:rPr>
      </w:pPr>
      <w:r w:rsidRPr="00A74179">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14:paraId="629550FF" w14:textId="77777777" w:rsidR="008C10B0" w:rsidRPr="00A74179" w:rsidRDefault="008C10B0" w:rsidP="008C10B0">
      <w:pPr>
        <w:tabs>
          <w:tab w:val="left" w:pos="284"/>
        </w:tabs>
        <w:ind w:left="284"/>
        <w:jc w:val="both"/>
        <w:rPr>
          <w:rFonts w:ascii="Arial" w:hAnsi="Arial" w:cs="Arial"/>
          <w:sz w:val="18"/>
          <w:szCs w:val="18"/>
        </w:rPr>
      </w:pPr>
      <w:r w:rsidRPr="00A74179">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14:paraId="57F564F8"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En el segundo trimestre de 2025, la economía global continuó creciendo a un ritmo moderado, a pesar de un entorno de incertidumbre, tensiones comerciales y conflictos geopolíticos. Si bien hacia el cierre del periodo se observó una menor volatilidad de los mercados, prevaleció un enfoque prudente en las decisiones de consumo e inversión. La economía estadounidense creció 0.7% trimestral en el periodo, revirtiendo la contracción observada entre enero y marzo. Este desempeño preliminar se atribuyó a la normalización de las importaciones tras compras anticipadas, así como a un mayor gasto de los hogares. </w:t>
      </w:r>
    </w:p>
    <w:p w14:paraId="40896F45"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Por el contrario, la actividad en la zona euro se moderó a una tasa de 0.1% real, afectada por una menor confianza del consumidor y un débil desempeño del sector manufacturero. En China, la actividad económica sorprendió al alza ante una mayor producción industrial y fortaleza en sus exportaciones, aunque su economía se desaceleró 0.1 puntos porcentuales (</w:t>
      </w:r>
      <w:proofErr w:type="spellStart"/>
      <w:r w:rsidRPr="00767B7C">
        <w:rPr>
          <w:rFonts w:ascii="Arial" w:hAnsi="Arial" w:cs="Arial"/>
          <w:sz w:val="18"/>
          <w:szCs w:val="18"/>
        </w:rPr>
        <w:t>pp</w:t>
      </w:r>
      <w:proofErr w:type="spellEnd"/>
      <w:r w:rsidRPr="00767B7C">
        <w:rPr>
          <w:rFonts w:ascii="Arial" w:hAnsi="Arial" w:cs="Arial"/>
          <w:sz w:val="18"/>
          <w:szCs w:val="18"/>
        </w:rPr>
        <w:t xml:space="preserve">) respecto al nivel observado entre enero y marzo. En la mayoría de las economías avanzadas, la inflación continuó su trayectoria descendente, acercándose a los objetivos de los bancos centrales. </w:t>
      </w:r>
    </w:p>
    <w:p w14:paraId="58942192"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En Estados Unidos (EE.UU.), la inflación repuntó en junio a medida que algunos precios de mercancías comenzaron a reflejar el impacto de los aranceles, aunque estos fueron contenidos por los altos niveles de inventarios, mientras que se moderó la inflación por servicios. A nivel internacional, destacó una baja en los precios del petróleo, favorecida por una mayor oferta de la Organización de Países Exportadores de Petróleo y sus aliados (OPEP+). Los principales bancos centrales continuaron relajando su postura monetaria. El Banco Central Europeo (BCE) redujo sus tasas de interés oficiales tras la disminución de la inflación, mientras que el Banco Popular de China (BPC) redujo su tasa preferencial de préstamos a un año de 3.10 a 3.00% en mayo para estimular su mercado interno. </w:t>
      </w:r>
    </w:p>
    <w:p w14:paraId="292C60B8"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Por su parte, la Reserva Federal (FED) en EE.UU. mantuvo la tasa de fondos federales en un rango de 4.25-4.50%, a la espera de más información sobre el impacto de la nueva política arancelaria; no obstante, el mercado estima que en lo que resta del año se podrían concretar recortes de hasta 50 puntos base (pb). En los mercados financieros, entre abril y junio se registraron episodios de alta volatilidad, que se disiparon parcialmente a medida que EE.UU. cerró acuerdos comerciales y el conflicto entre Irán e Israel perdió intensidad. También destacó un debilitamiento del dólar, lo que favoreció la apreciación de diversas monedas emergentes, en particular en América Latina. En ese mismo periodo se redujo la percepción de riesgo hacia países emergentes.</w:t>
      </w:r>
    </w:p>
    <w:p w14:paraId="2BCA12F6"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En este entorno internacional complejo, el desempeño de la economía mexicana superó las expectativas del consenso de analistas en el segundo trimestre y su crecimiento se ubicó por encima del promedio histórico. Este resultado se vio impulsado por la fortaleza del consumo de los hogares, un tipo de cambio más competitivo que </w:t>
      </w:r>
      <w:r w:rsidRPr="00767B7C">
        <w:rPr>
          <w:rFonts w:ascii="Arial" w:hAnsi="Arial" w:cs="Arial"/>
          <w:sz w:val="18"/>
          <w:szCs w:val="18"/>
        </w:rPr>
        <w:lastRenderedPageBreak/>
        <w:t xml:space="preserve">fortaleció al sector externo y una sólida integración comercial con EE.UU., respaldada por la posición favorable de México en materia arancelaria respecto al resto del mundo, pese a la persistente incertidumbre global. </w:t>
      </w:r>
    </w:p>
    <w:p w14:paraId="58358E7B"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Con datos del Instituto Nacional de Estadística y Geografía (INEGI), el Producto Interno Bruto (PIB) creció 0.7% trimestral con cifras desestacionalizadas. Por sector, las actividades primarias se contrajeron 1.3% tras una elevada base de comparación, derivada del sólido crecimiento registrado en el primer trimestre, cuando las condiciones meteorológicas fueron particularmente favorables para la producción agrícola. Las actividades secundarias crecieron 0.8%, de manera resiliente, impulsadas por un sólido desempeño en las manufacturas, especialmente en rubros ligados al comercio exterior, como equipo de transporte y productos metálicos. Las actividades terciarias crecieron 0.7%, apoyadas por el dinamismo del mercado interno, con contribuciones destacadas en servicios profesionales, transporte, esparcimiento y otros servicios personales, en un entorno de mayores ingresos laborales y un mayor consumo. </w:t>
      </w:r>
    </w:p>
    <w:p w14:paraId="5BDC37A4"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Con información a abril, el consumo privado repuntó respecto al trimestre previo. En ese mes, este indicador creció 1.1% mensual con cifras ajustadas por estacionalidad, impulsado por aumentos de 2.0% en bienes de origen nacional y 0.7% en servicios. En lo que va del año, el consumo privado acumuló un crecimiento de 2.2% respecto al cierre de 2024, el mejor desempeño para un periodo similar desde 2021. Durante el segundo trimestre de 2025, la inflación general promedió 4.2%, lo que representó un ligero repunte de 0.5 </w:t>
      </w:r>
      <w:proofErr w:type="spellStart"/>
      <w:r w:rsidRPr="00767B7C">
        <w:rPr>
          <w:rFonts w:ascii="Arial" w:hAnsi="Arial" w:cs="Arial"/>
          <w:sz w:val="18"/>
          <w:szCs w:val="18"/>
        </w:rPr>
        <w:t>pp</w:t>
      </w:r>
      <w:proofErr w:type="spellEnd"/>
      <w:r w:rsidRPr="00767B7C">
        <w:rPr>
          <w:rFonts w:ascii="Arial" w:hAnsi="Arial" w:cs="Arial"/>
          <w:sz w:val="18"/>
          <w:szCs w:val="18"/>
        </w:rPr>
        <w:t xml:space="preserve"> respecto al primer trimestre. </w:t>
      </w:r>
    </w:p>
    <w:p w14:paraId="45F22530"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La inflación subyacente se ubicó en 4.1%, impulsada por mayores precios de las mercancías, producto de un efecto rezagado por la depreciación cambiaria y la normalización de precios de mercancías no alimenticias. La inflación no subyacente se situó en 4.5% debido a aumentos en los precios del pollo y la carne de res, así como una menor deflación en frutas y verduras. En contraste, la inflación de energéticos disminuyó, gracias al acuerdo para establecer un precio máximo en la gasolina magna. </w:t>
      </w:r>
    </w:p>
    <w:p w14:paraId="3429FBB8"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A pesar de la incertidumbre internacional, el sector externo mantuvo una contribución relevante al crecimiento, favorecido por un tipo de cambio real más competitivo que en 2024. Las exportaciones crecieron 1.8% trimestral, con cifras desestacionalizadas. Destacaron las exportaciones de manufacturas de alto contenido tecnológico, como computadoras y equipo electrónico, lo que contribuyó a un superávit comercial de 543 millones de dólares al cierre de junio.</w:t>
      </w:r>
    </w:p>
    <w:p w14:paraId="2FF867B2"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Con datos a mayo, los ingresos por turismo aumentaron 6.4% anual, alcanzando 15.9 mil millones de dólares. En contraste, las remesas disminuyeron 3.0% anual, con un total de 24.4 mil millones de dólares, reflejo de una moderación en el empleo de mexicanos en EE.UU.</w:t>
      </w:r>
    </w:p>
    <w:p w14:paraId="3E5F68EE"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Durante el primer trimestre, último corte disponible, la Inversión Extranjera Directa (IED) ascendió a 21 mil 373 millones de dólares, un máximo histórico para el periodo con datos preliminares. El flujo se concentró en el sector manufacturero, particularmente en la fabricación de automóviles, camiones y autopartes. Este desempeño confirma la confianza en el potencial de crecimiento y la estabilidad económica del país. El sistema financiero mexicano se mantuvo resiliente en el segundo trimestre, sustentado en un sistema bancario solvente y bien capitalizado, con baja morosidad, según estándares internacionales. </w:t>
      </w:r>
    </w:p>
    <w:p w14:paraId="31096BBF"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Al cierre del periodo, el tipo de cambio se ubicó en 18.75 pesos por dólar, apreciándose 9.2% frente a marzo. Este comportamiento fue similar al observado en otras economías como Brasil, Chile y Colombia. El EMBI+ de México bajó 24 pb en el periodo, alineado con la tendencia de países emergentes. Por último, con datos a mayo, el crédito vigente al sector privado no financiero creció 0.8% real respecto a marzo. El crédito al consumo y a la vivienda crecieron 1.4 y 0.2% real, respectivamente. El Índice de Capitalización (ICAP) se ubicó en 19.8%, muy por encima del mínimo regulatorio de 10.5% (Basilea III), mientras que el Índice de Morosidad (IMOR) cerró en 2.1%, en línea con el promedio de los últimos doce meses y muy por debajo de niveles observados en episodios de estrés financiero.</w:t>
      </w:r>
    </w:p>
    <w:p w14:paraId="6B21737F"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En la primera mitad del año, las finanzas públicas registraron una evolución ordenada, acorde con las metas planteadas en el Paquete Económico 2025. El balance presupuestario se ubicó por debajo de lo calendarizado para el periodo, debido al crecimiento sostenido de los ingresos y una gestión estratégica del gasto público que priorizó el ejercicio efectivo de los derechos constitucionales de la población y el impulso al crecimiento económico. Lo anterior contribuyó a que la deuda pública permaneciera en un nivel estable y sostenible. </w:t>
      </w:r>
    </w:p>
    <w:p w14:paraId="52EED029"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En el acumulado a junio, los ingresos presupuestarios aumentaron 3.4% real respecto al mismo periodo de 2024, un crecimiento destacado comparado con el promedio histórico. Al interior, los ingresos tributarios crecieron 8.0% </w:t>
      </w:r>
      <w:r w:rsidRPr="00767B7C">
        <w:rPr>
          <w:rFonts w:ascii="Arial" w:hAnsi="Arial" w:cs="Arial"/>
          <w:sz w:val="18"/>
          <w:szCs w:val="18"/>
        </w:rPr>
        <w:lastRenderedPageBreak/>
        <w:t xml:space="preserve">real a tasa anual, la más alta desde 2016, impulsados por una mayor recaudación primaria y diversas medidas para combatir la evasión, el contrabando y la informalidad, así como por la incorporación de nuevas herramientas digitales para fortalecer la fiscalización. Este avance fue posible sin crear nuevos impuestos ni aumentar los existentes. </w:t>
      </w:r>
    </w:p>
    <w:p w14:paraId="63B72738"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En el periodo, los ingresos por concepto del Impuesto sobre la Renta (ISR) representaron el 56.7% de la recaudación total y aumentaron 7.9% real anual. Este resultado se explicó, principalmente, por el crecimiento de los salarios, mayores ganancias empresariales y rendimientos financieros. Respecto a lo programado, este rubro fue superior en 49 mil millones de pesos.</w:t>
      </w:r>
    </w:p>
    <w:p w14:paraId="394F4B6E"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Por su parte, la recaudación por concepto del Impuesto al Valor Agregado (IVA) representó el 26.9% de los ingresos tributarios y creció 9.7% real respecto al primer semestre de 2024, la tasa de crecimiento más alta para el periodo desde 2018. Este desempeño fue resultado del dinamismo del consumo privado, una mayor fiscalización aduanera y el efecto de un tipo de cambio real más competitivo que elevó la valuación relativa en pesos de los bienes importados. En comparación con el programa, este rubro fue superior en 47 mil millones de pesos. Los ingresos asociados con el rubro de importaciones aumentaron 33.2% real anual, la mayor tasa para un primer semestre desde que se tiene registro. </w:t>
      </w:r>
    </w:p>
    <w:p w14:paraId="4D5496AE"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Este resultado respondió a un control y supervisión más estrictos del comercio electrónico, apoyado en un nuevo marco fiscal para plataformas digitales, mayor vigilancia aduanera y la actualización de fracciones arancelarias para países sin tratado comercial con México. Por su parte, los ingresos no tributarios del Gobierno Federal aumentaron 30.0% real anual, impulsados por mayores registros de derechos, productos y aprovechamientos. Con respecto al programa, este rubro superó lo previsto en 47 mil millones de pesos. </w:t>
      </w:r>
    </w:p>
    <w:p w14:paraId="53FB9E38"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Adicionalmente, los ingresos propios del Instituto Mexicano del Seguro Social (IMSS) aumentaron 2.7% real anual en el acumulado a junio, con una contribución significativa de las cuotas a la seguridad social, reflejo del crecimiento en el empleo permanente y los salarios. No obstante, durante el periodo se observaron reducciones de 0.7 y 5.8% real anual en los ingresos propios del Instituto de Seguridad y Servicios Sociales de los Trabajadores del Estado (ISSSTE) y de la Comisión Federal de Electricidad (CFE), respectivamente. </w:t>
      </w:r>
    </w:p>
    <w:p w14:paraId="332E02F7"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Por su parte, el gasto neto total disminuyó 3.8% real anual durante el primer semestre del año, en línea con el proceso de consolidación fiscal establecido en el Presupuesto de Egresos de la Federación (PEF) para el ejercicio 2025, y como resultado de la base alta de comparación de 2024 donde se ejerció un gasto importante en proyectos prioritarios. En el acumulado a junio, el gasto presentó un avance del 94.1% respecto al nivel programado, lo que garantizó la ejecución oportuna de programas sociales y proyectos de infraestructura estratégica. </w:t>
      </w:r>
    </w:p>
    <w:p w14:paraId="076E104D"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Entre enero y junio, el gasto en protección social aumentó 6.0% real anual, lo que reafirmó el compromiso del Gobierno de México de garantizar a la población el ejercicio pleno de sus derechos constitucionales. A través de programas como la Pensión para el Bienestar de las Personas Adultas Mayores, la Pensión para el Bienestar de las Personas con Discapacidad y, recientemente, la Pensión Mujeres Bienestar, se aseguraron recursos suficientes para seguir mejorando la calidad de vida de las y los beneficiarios.</w:t>
      </w:r>
    </w:p>
    <w:p w14:paraId="13FDFD66"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Como resultado de diversas operaciones de refinanciamiento de pasivos, el costo financiero se ubicó 20 mil millones de pesos por debajo de lo previsto en el programa para el primer semestre del año, lo que amplió el espacio fiscal para asignar recursos a prioridades sociales y productivas. No obstante, en la comparación anual, el costo financiero de la deuda aumentó 10.8% real respecto al primer semestre de 2024, en un entorno de condiciones financieras aún restrictivas, aunque con señales de moderación. </w:t>
      </w:r>
    </w:p>
    <w:p w14:paraId="179A450B"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De esta manera, los balances fiscales mostraron un desempeño mejor al previsto. El déficit presupuestario del sector público se ubicó en 466 mil millones de pesos, esto es, 192 mil millones de pesos por debajo de lo calendarizado para el periodo. Esto favoreció la materialización de un superávit primario presupuestario de 235 mil millones de pesos, superior al valor programado de 63 mil millones de pesos. Por su parte, los Requerimientos Financieros del Sector Público (RFSP) alcanzaron los 568 mil millones de pesos, consistente con una trayectoria sostenible de las finanzas públicas.</w:t>
      </w:r>
    </w:p>
    <w:p w14:paraId="79CD27EB"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En el primer semestre de 2025, la política de deuda pública se enfocó en mantener una estrategia proactiva de refinanciamiento de los pasivos del Gobierno Federal, tanto en los mercados locales como internacionales, con el objetivo de mitigar costos y riesgos, así como de mejorar el perfil de vencimientos del portafolio. Esta estrategia ha </w:t>
      </w:r>
      <w:r w:rsidRPr="00767B7C">
        <w:rPr>
          <w:rFonts w:ascii="Arial" w:hAnsi="Arial" w:cs="Arial"/>
          <w:sz w:val="18"/>
          <w:szCs w:val="18"/>
        </w:rPr>
        <w:lastRenderedPageBreak/>
        <w:t xml:space="preserve">sido clave para preservar una trayectoria sostenible y estable de la deuda como proporción del PIB. Al cierre de junio, la deuda pública, medida por el Saldo Histórico de los Requerimientos Financieros del Sector Público (SHRFSP), se ubicó en 17 billones 797 mil millones de pesos, equivalente al 49.5% del PIB. </w:t>
      </w:r>
    </w:p>
    <w:p w14:paraId="52650D88"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El componente interno ascendió a 13 billones 422 mil millones de pesos (75.4% del total), mientras que el externo registró un nivel de 232 mil millones de dólares (24.6% del total). En cuanto a la estrategia de manejo de pasivos, se continuó con las operaciones de refinanciamiento orientadas a extender los plazos de vencimiento y fortalecer la estructura del portafolio. </w:t>
      </w:r>
    </w:p>
    <w:p w14:paraId="645680FF"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Durante el segundo trimestre del año, se refinanciaron 256 mil millones de pesos en el mercado interno, lo que fortaleció la capacidad de liquidez de corto plazo y contribuyó a una estructura de deuda más robusta y eficiente, como parte de una gestión responsable del endeudamiento público. Asimismo, como parte del compromiso del Gobierno de México de promover un desarrollo sostenible, el 30 de mayo se llevó a cabo una colocación sindicada en el mercado interno de Bondes G por 30 mil millones de pesos. </w:t>
      </w:r>
    </w:p>
    <w:p w14:paraId="3795B18D"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Por otro lado, el 12 de junio se realizó la colocación sindicada de una nueva referencia de Bonos M a 10 años, por un monto de 15 mil millones de pesos, con vencimiento en febrero de 2036 y una tasa cupón de 8.0%. En el mercado externo, el 23 de junio se colocaron dos nuevos bonos de referencia por un monto total de 7 mil millones de dólares y se refinanciaron 3 mil millones de dólares en bonos con vencimientos programados entre 2027 y 2031. Estas operaciones permitieron reducir presiones futuras en el perfil de amortizaciones y responder oportunamente a las condiciones favorables de liquidez internacional.</w:t>
      </w:r>
    </w:p>
    <w:p w14:paraId="370F944F"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Gracias a estas acciones, los indicadores de riesgo soberano mejoraron durante el segundo trimestre. La prima de las Permutas de Incumplimiento Crediticio (CDS) a cinco años para la deuda del Gobierno de México disminuyó 29 pb, ubicándose en 107 puntos al cierre de junio. Por su parte, el EMBI+ —que mide los diferenciales de tasa asociados al riesgo país— retrocedió 24 puntos, para cerrar en 197 puntos, en línea con la tendencia observada en otras economías emergentes.</w:t>
      </w:r>
    </w:p>
    <w:p w14:paraId="1F3237C1"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En el segundo trimestre de 2025, la economía global mantuvo un ritmo de crecimiento moderado, similar al del trimestre anterior, en un entorno caracterizado por incertidumbre, tensiones comerciales y conflictos geopolíticos. La probabilidad de una recesión global alcanzó su punto más elevado en abril tras el anuncio de aranceles recíprocos de EE.UU. a sus socios comerciales. En este entorno, la implementación de nuevos aranceles y el incremento en la incertidumbre limitaron las decisiones de inversión y consumo, afectando el crecimiento económico global y aumentando el riesgo al alza en los precios, particularmente en EE.UU. y en aquellos países que tomaron represalias. </w:t>
      </w:r>
    </w:p>
    <w:p w14:paraId="4220964D"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Sin embargo, el nerviosismo en los mercados y las expectativas de una desaceleración global disminuyeron en mayo y junio tras la suspensión de los aranceles recíprocos por 90 días por parte de EE.UU. y el acuerdo temporal con China para reducir aranceles. Como resultado, el índice de incertidumbre política de EE.UU. se redujo un 50% desde el máximo observado en abril, aunque permaneció en niveles históricamente elevados. En este contexto, la economía estadounidense creció 0.7% en el segundo trimestre debido a la normalización de las importaciones luego de que las compras anticipadas por los aranceles causaran un incremento significativo. Si bien la inversión fija se desaceleró, el crecimiento del consumo privado compensó la caída en inventarios. </w:t>
      </w:r>
    </w:p>
    <w:p w14:paraId="770AAEDA"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En contraste, la economía de la zona euro se desaceleró por una menor demanda externa, mientras que en China el ritmo de crecimiento superó las expectativas, ante la resiliencia de las exportaciones pese a las tensiones con EE.UU. —aunque la demanda interna siguió débil a pesar de los apoyos gubernamentales—. </w:t>
      </w:r>
    </w:p>
    <w:p w14:paraId="6FE2CFB6"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En la mayoría de las economías avanzadas, la inflación continuó su trayectoria a la baja, acercándose a los objetivos de los bancos centrales. En EE.UU., la inflación de servicios se moderó, mientras que algunos precios de mercancías comenzaron a reflejar el impacto de los aranceles, si bien contenidos por los altos niveles de inventarios. Los precios internacionales de alimentos y crudo disminuyeron, este último ante una menor demanda y una mayor oferta de la OPEP+, pese al conflicto militar en Medio Oriente. </w:t>
      </w:r>
    </w:p>
    <w:p w14:paraId="2F9315B6"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Por otro lado, se registraron incrementos en los precios del acero, aluminio y oro asociado a las tensiones comerciales y geopolíticas. Como resultado del entorno inflacionario, la mayoría de los bancos centrales continuaron con su relajamiento monetario, aunque con cautela. Destacó el BCE que redujo su tasa de depósitos a 2.0%, ubicándose en terreno neutral. En contraste, la FED mantuvo el rango de la tasa de fondos federales en </w:t>
      </w:r>
      <w:r w:rsidRPr="00767B7C">
        <w:rPr>
          <w:rFonts w:ascii="Arial" w:hAnsi="Arial" w:cs="Arial"/>
          <w:sz w:val="18"/>
          <w:szCs w:val="18"/>
        </w:rPr>
        <w:lastRenderedPageBreak/>
        <w:t>4.25-4.50% derivado de la incertidumbre provocada por la implementación de los aranceles y su posible efecto sobre la actividad económica y los precios.</w:t>
      </w:r>
    </w:p>
    <w:p w14:paraId="064D6BDB"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Los mercados internacionales enfrentaron alta volatilidad y un endurecimiento de las condiciones financieras, especialmente a inicios del segundo trimestre del año. Los índices accionarios cayeron en abril, pero se recuperaron con el avance de las negociaciones comerciales de EE.UU. con varios países, en particular con China. Por su parte, el debilitamiento del dólar estadounidense resultó en la apreciación de monedas emergentes, mientras los rendimientos de bonos a largo plazo en economías avanzadas subieron por presiones fiscales. La percepción de riesgo hacia países emergentes mejoró tras la pausa de algunos aranceles, aunque estuvo sujeta a riesgos geopolíticos e incertidumbre ligada a nuevos acuerdos comerciales con EE.UU.</w:t>
      </w:r>
    </w:p>
    <w:p w14:paraId="2D4E313C"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El PIB real de EE.UU. registró en su versión preliminar un crecimiento de 0.7% trimestral, en contraste con la caída de 0.1% observada en el trimestre anterior, y por encima del 0.2% esperado por el consenso de analistas en abril. La recuperación respondió principalmente a la normalización de las importaciones tras la disipación de las compras anticipadas motivadas por los cambios en la política arancelaria. En consecuencia, las exportaciones netas contribuyeron 1.2 </w:t>
      </w:r>
      <w:proofErr w:type="spellStart"/>
      <w:r w:rsidRPr="00767B7C">
        <w:rPr>
          <w:rFonts w:ascii="Arial" w:hAnsi="Arial" w:cs="Arial"/>
          <w:sz w:val="18"/>
          <w:szCs w:val="18"/>
        </w:rPr>
        <w:t>pp</w:t>
      </w:r>
      <w:proofErr w:type="spellEnd"/>
      <w:r w:rsidRPr="00767B7C">
        <w:rPr>
          <w:rFonts w:ascii="Arial" w:hAnsi="Arial" w:cs="Arial"/>
          <w:sz w:val="18"/>
          <w:szCs w:val="18"/>
        </w:rPr>
        <w:t xml:space="preserve"> al crecimiento del PIB, compensando la caída del primer trimestre. </w:t>
      </w:r>
    </w:p>
    <w:p w14:paraId="09456D46"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El gasto de los hogares creció respecto al trimestre anterior, impulsado por niveles bajos de desempleo, una posición financiera saludable de los hogares y una ligera recuperación en el sentimiento del consumidor en junio, aunque limitado por la incertidumbre comercial. Este crecimiento se debió principalmente a una mayor demanda de servicios de salud y bienes duraderos, lo que elevó la contribución del consumo privado al PIB en 0.2 </w:t>
      </w:r>
      <w:proofErr w:type="spellStart"/>
      <w:r w:rsidRPr="00767B7C">
        <w:rPr>
          <w:rFonts w:ascii="Arial" w:hAnsi="Arial" w:cs="Arial"/>
          <w:sz w:val="18"/>
          <w:szCs w:val="18"/>
        </w:rPr>
        <w:t>pp</w:t>
      </w:r>
      <w:proofErr w:type="spellEnd"/>
      <w:r w:rsidRPr="00767B7C">
        <w:rPr>
          <w:rFonts w:ascii="Arial" w:hAnsi="Arial" w:cs="Arial"/>
          <w:sz w:val="18"/>
          <w:szCs w:val="18"/>
        </w:rPr>
        <w:t xml:space="preserve">, por encima de los 0.1 </w:t>
      </w:r>
      <w:proofErr w:type="spellStart"/>
      <w:r w:rsidRPr="00767B7C">
        <w:rPr>
          <w:rFonts w:ascii="Arial" w:hAnsi="Arial" w:cs="Arial"/>
          <w:sz w:val="18"/>
          <w:szCs w:val="18"/>
        </w:rPr>
        <w:t>pp</w:t>
      </w:r>
      <w:proofErr w:type="spellEnd"/>
      <w:r w:rsidRPr="00767B7C">
        <w:rPr>
          <w:rFonts w:ascii="Arial" w:hAnsi="Arial" w:cs="Arial"/>
          <w:sz w:val="18"/>
          <w:szCs w:val="18"/>
        </w:rPr>
        <w:t xml:space="preserve"> del trimestre previo. Por su parte, el gasto público también aumentó ligeramente, principalmente por un incremento en el gasto en defensa y de gobiernos locales. </w:t>
      </w:r>
    </w:p>
    <w:p w14:paraId="3F27E16B"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En cambio, la </w:t>
      </w:r>
      <w:proofErr w:type="spellStart"/>
      <w:r w:rsidRPr="00767B7C">
        <w:rPr>
          <w:rFonts w:ascii="Arial" w:hAnsi="Arial" w:cs="Arial"/>
          <w:sz w:val="18"/>
          <w:szCs w:val="18"/>
        </w:rPr>
        <w:t>desacumulación</w:t>
      </w:r>
      <w:proofErr w:type="spellEnd"/>
      <w:r w:rsidRPr="00767B7C">
        <w:rPr>
          <w:rFonts w:ascii="Arial" w:hAnsi="Arial" w:cs="Arial"/>
          <w:sz w:val="18"/>
          <w:szCs w:val="18"/>
        </w:rPr>
        <w:t xml:space="preserve"> de inventarios restó 0.8 </w:t>
      </w:r>
      <w:proofErr w:type="spellStart"/>
      <w:r w:rsidRPr="00767B7C">
        <w:rPr>
          <w:rFonts w:ascii="Arial" w:hAnsi="Arial" w:cs="Arial"/>
          <w:sz w:val="18"/>
          <w:szCs w:val="18"/>
        </w:rPr>
        <w:t>pp</w:t>
      </w:r>
      <w:proofErr w:type="spellEnd"/>
      <w:r w:rsidRPr="00767B7C">
        <w:rPr>
          <w:rFonts w:ascii="Arial" w:hAnsi="Arial" w:cs="Arial"/>
          <w:sz w:val="18"/>
          <w:szCs w:val="18"/>
        </w:rPr>
        <w:t xml:space="preserve"> al PIB, tras el aumento en el trimestre anterior, en línea con las compras adelantadas de importaciones. La inversión residencial tuvo una contribución prácticamente nula, afectada por las altas tasas de interés hipotecarias. Por su parte, la inversión no residencial contribuyó en 0.1 </w:t>
      </w:r>
      <w:proofErr w:type="spellStart"/>
      <w:r w:rsidRPr="00767B7C">
        <w:rPr>
          <w:rFonts w:ascii="Arial" w:hAnsi="Arial" w:cs="Arial"/>
          <w:sz w:val="18"/>
          <w:szCs w:val="18"/>
        </w:rPr>
        <w:t>pp</w:t>
      </w:r>
      <w:proofErr w:type="spellEnd"/>
      <w:r w:rsidRPr="00767B7C">
        <w:rPr>
          <w:rFonts w:ascii="Arial" w:hAnsi="Arial" w:cs="Arial"/>
          <w:sz w:val="18"/>
          <w:szCs w:val="18"/>
        </w:rPr>
        <w:t>, ya que el dinamismo en el rubro de propiedad intelectual y equipamiento fue parcialmente contrarrestado por una contracción en las estructuras.</w:t>
      </w:r>
    </w:p>
    <w:p w14:paraId="26AFC2FF"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En el segundo trimestre de 2025, la actividad económica se desaceleró a una tasa trimestral de 0.1% real, menor al 0.6% en el trimestre anterior, debido a la disipación del adelanto de pedidos de exportación. En el bimestre abril-mayo, el sector manufacturero se contrajo 0.3% respecto al trimestre previo, mientras que los indicadores adelantados del sector sugirieron un débil desempeño en lo que restó del trimestre por la incertidumbre comercial con EE.UU. Además, pese a que la inflación disminuyó y el mercado laboral se mantuvo robusto, la confianza del consumidor se redujo 1.6 puntos con respecto al trimestre previo, lo que representó su mayor caída trimestral desde 2022. </w:t>
      </w:r>
    </w:p>
    <w:p w14:paraId="6CD2EF34"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La inflación general anual disminuyó de 2.2% en marzo a 2.0% en junio de 2025 en línea con el objetivo del BCE, como resultado de una mayor deflación en energéticos y una disminución en la inflación subyacente, que fue contrarrestada en parte por un incremento en la inflación de alimentos. En particular, el componente subyacente disminuyó de 2.4 a 2.3%, en el mismo periodo, debido a una menor inflación en servicios, mientras que la inflación de bienes también contribuyó en el mismo sentido.</w:t>
      </w:r>
    </w:p>
    <w:p w14:paraId="02192FC4"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En el segundo trimestre de 2025, la economía china desaceleró su crecimiento trimestral a 1.1%, inferior al 1.2% del trimestre anterior, aunque superior lo previsto por el consenso de analistas en abril (0.8%). Este mejor desempeño se atribuye a una mayor fortaleza de la producción industrial y de las exportaciones tras el acuerdo temporal con EE.UU. para reducir los aranceles recíprocos. Sin embargo, el desempeño de las ventas minoristas reflejó un mercado interno débil, compensado por un ligero incremento de las importaciones y por los apoyos gubernamentales para financiar artículos de consumo, tales como electrodomésticos y vehículos.</w:t>
      </w:r>
    </w:p>
    <w:p w14:paraId="078B8AC4"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Los indicadores adelantados mostraron que el sector servicios se mantuvo por encima del umbral mínimo de expansión, mientras que las manufacturas continuaron en terreno de contracción durante el trimestre. Por otro lado, la inversión inmobiliaria y los precios de las viviendas profundizaron su caída, pese a una política monetaria más acomodaticia del banco central. La confianza del consumidor permaneció baja, al igual que los precios al consumidor, que subieron ligeramente un 0.1% anual en junio, tras cuatro meses en deflación.</w:t>
      </w:r>
    </w:p>
    <w:p w14:paraId="218F51BC"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lastRenderedPageBreak/>
        <w:t>En el segundo trimestre de 2025, los precios del crudo mantuvieron una tendencia a la baja, afectados por tensiones comerciales y cambios en la política arancelaria de EE.UU., aunque el conflicto entre Israel e Irán (13-24 de junio) moderó temporalmente la caída. La presión a la baja se intensificó con el aumento de la oferta de la OPEP+, que incrementó la producción en 135 millones de barriles diarios (</w:t>
      </w:r>
      <w:proofErr w:type="spellStart"/>
      <w:r w:rsidRPr="00767B7C">
        <w:rPr>
          <w:rFonts w:ascii="Arial" w:hAnsi="Arial" w:cs="Arial"/>
          <w:sz w:val="18"/>
          <w:szCs w:val="18"/>
        </w:rPr>
        <w:t>Mbd</w:t>
      </w:r>
      <w:proofErr w:type="spellEnd"/>
      <w:r w:rsidRPr="00767B7C">
        <w:rPr>
          <w:rFonts w:ascii="Arial" w:hAnsi="Arial" w:cs="Arial"/>
          <w:sz w:val="18"/>
          <w:szCs w:val="18"/>
        </w:rPr>
        <w:t xml:space="preserve">) en abril y 411 </w:t>
      </w:r>
      <w:proofErr w:type="spellStart"/>
      <w:r w:rsidRPr="00767B7C">
        <w:rPr>
          <w:rFonts w:ascii="Arial" w:hAnsi="Arial" w:cs="Arial"/>
          <w:sz w:val="18"/>
          <w:szCs w:val="18"/>
        </w:rPr>
        <w:t>Mbd</w:t>
      </w:r>
      <w:proofErr w:type="spellEnd"/>
      <w:r w:rsidRPr="00767B7C">
        <w:rPr>
          <w:rFonts w:ascii="Arial" w:hAnsi="Arial" w:cs="Arial"/>
          <w:sz w:val="18"/>
          <w:szCs w:val="18"/>
        </w:rPr>
        <w:t xml:space="preserve"> en mayo y junio, como parte de un acuerdo para revertir gradualmente recortes de 2.2 </w:t>
      </w:r>
      <w:proofErr w:type="spellStart"/>
      <w:r w:rsidRPr="00767B7C">
        <w:rPr>
          <w:rFonts w:ascii="Arial" w:hAnsi="Arial" w:cs="Arial"/>
          <w:sz w:val="18"/>
          <w:szCs w:val="18"/>
        </w:rPr>
        <w:t>Mbd</w:t>
      </w:r>
      <w:proofErr w:type="spellEnd"/>
      <w:r w:rsidRPr="00767B7C">
        <w:rPr>
          <w:rFonts w:ascii="Arial" w:hAnsi="Arial" w:cs="Arial"/>
          <w:sz w:val="18"/>
          <w:szCs w:val="18"/>
        </w:rPr>
        <w:t xml:space="preserve">. Al 30 de junio, los precios del Brent, WTI y Mezcla Mexicana se ubicaron en 68.0, 65.1, y 61.1 respectivamente, lo que resultó en una caída de 11.9, 8.9 y 8.4%, frente al cierre de marzo —reflejando un mercado influido por una mayor oferta y tensiones comerciales—. En el mismo periodo los precios del gas natural Henry Hub y el TTF disminuyeron 20.7 y 12.0%, respectivamente para ubicarse en los 3.3 y 11.4 dólares por MMBTU (millones de unidades térmicas británicas), derivado de una menor demanda estacional ante temperaturas más favorables en países del hemisferio norte, una reducción en las compras de gas natural licuado (GNL) por parte de China y una mayor acumulación de inventarios en EE.UU. </w:t>
      </w:r>
    </w:p>
    <w:p w14:paraId="25CF474C"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Entre los metales industriales, el aluminio y el acero registraron variaciones de 3.2 y - 1.1%, respectivamente, entre el primer y segundo trimestre del año. El aumento de aranceles en EE.UU. del 25 al 50% impulsó el precio del aluminio por limitaciones de producción, mientras que en el acero predominó la debilidad de la demanda. En los metales preciosos, los riesgos comerciales y geopolíticos elevaron el precio del oro en 5.9%, mientras que la combinación de una mayor demanda y una disminución en la oferta incrementó el precio del platino en 32.1%. Finalmente, los precios de los alimentos aumentaron 0.6% entre marzo y junio, de acuerdo con la Organización de las Naciones Unidas para la Alimentación y la Agricultura (FAO, por sus siglas en inglés). </w:t>
      </w:r>
    </w:p>
    <w:p w14:paraId="378C4A58"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Por una parte, los precios de cultivos como el trigo, el maíz y el azúcar presentaron caídas de 1.5, 8.0 y 11.6%, respectivamente, debido a la mayor disponibilidad por las cosechas en curso en el hemisferio sur y por condiciones climatológicas favorables que mejoraron las expectativas de producción. No obstante, los productos de origen animal como el ganado vacuno y la carne de cerdo presentaron aumentos de 8.7 y 25.5%, respectivamente, tanto por el aumento de su demanda a nivel global, como por una oferta de ganado vacuno limitada en EE.UU., la cual se agravó con la restricción a la importación de ganado mexicano que entró en vigor el 11 de mayo, debido a la detección de brotes del gusano barrenador en ciertos estados del sur de México.</w:t>
      </w:r>
    </w:p>
    <w:p w14:paraId="364F1AEA"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Durante el segundo trimestre de 2025, la mayoría de los bancos centrales de economías avanzadas y emergentes continuaron con su relajamiento monetario, aunque con comportamientos diferenciados entre países. En EE.UU., la FED mantuvo una postura de cautela ante la incertidumbre comercial y su posible efecto sobre la actividad económica y los precios. El Comité Federal de Mercado Abierto decidió mantener la tasa de fondos federales en un rango de 4.25-4.50%, en sus reuniones del 7 de mayo y del 18 de junio. Asimismo, en las proyecciones más recientes del Comité, publicadas en junio, se anticiparon recortes adicionales en la tasa de referencia de hasta 50 pb durante el año, acompañado de un menor dinamismo económico y mayores tasas de inflación. </w:t>
      </w:r>
    </w:p>
    <w:p w14:paraId="09A456BD"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A su vez, continuó la reducción en la amortización de activos de la hoja de balance, por 40 mil millones de dólares mensuales, con el fin de aligerar las presiones de liquidez en el sistema financiero, alcanzando así al 30 de junio, un saldo de 6.7 billones de dólares, similar al nivel observado de abril 2020. El BCE, por su parte, redujo sus tres tasas de interés oficiales en 25 pb en las reuniones del 17 de abril y del 5 de junio, en un contexto donde la inflación se encuentra en línea con su objetivo del 2.0% y persisten riesgos derivados de la incertidumbre en la política comercial con EE.UU. Así, la tasa de depósitos, la tasa de operaciones de financiamiento y de facilidad marginal de crédito se ubicaron en 2.00, 2.15 y 2.40%, respectivamente. Además, su hoja de balance se redujo en 14 mil millones de euros, hasta alcanzar 6.2 billones de euros al cierre del trimestre.</w:t>
      </w:r>
    </w:p>
    <w:p w14:paraId="209C164B"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El BPC adoptó nuevas medidas de estímulo para mitigar los efectos económicos tras las tensiones comerciales con EE.UU. En primer lugar, redujo su tasa de recompra inversa a siete días en 10 pb, situándola en 1.40%. Asimismo, disminuyó el coeficiente de reserva bancario en 50 pb, ubicándolo en 6.3% en promedio. Por otro lado, redujo en 10 pb la tasa preferencial de préstamos a un año, utilizada como referencia para la mayoría de los préstamos corporativos y domésticos, a 3.00%, y la tasa a cinco años, utilizada como base para hipotecas, a 3.50%.</w:t>
      </w:r>
    </w:p>
    <w:p w14:paraId="42E119E3"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En América Latina, destacó el Banco Central de Brasil que prolongó su ciclo de alzas en la tasa de referencia, con un aumento de 50 pb el 7 de mayo y otro de 25 pb el 18 de junio, ubicando la tasa </w:t>
      </w:r>
      <w:proofErr w:type="spellStart"/>
      <w:r w:rsidRPr="00767B7C">
        <w:rPr>
          <w:rFonts w:ascii="Arial" w:hAnsi="Arial" w:cs="Arial"/>
          <w:sz w:val="18"/>
          <w:szCs w:val="18"/>
        </w:rPr>
        <w:t>Selic</w:t>
      </w:r>
      <w:proofErr w:type="spellEnd"/>
      <w:r w:rsidRPr="00767B7C">
        <w:rPr>
          <w:rFonts w:ascii="Arial" w:hAnsi="Arial" w:cs="Arial"/>
          <w:sz w:val="18"/>
          <w:szCs w:val="18"/>
        </w:rPr>
        <w:t xml:space="preserve"> en 15.0%. El banco señaló que, si se confirma su escenario central, podría interrumpir los incrementos para evaluar sus efectos acumulados y determinar si el nivel actual es suficiente para garantizar la convergencia de la inflación hacia su meta.</w:t>
      </w:r>
    </w:p>
    <w:p w14:paraId="4951B863"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lastRenderedPageBreak/>
        <w:t xml:space="preserve">En el segundo trimestre de 2025, los mercados financieros experimentaron episodios de volatilidad derivados de los cambios en la política arancelaria de EE.UU., los conflictos geopolíticos y la discusión del paquete fiscal en el Congreso de EE.UU. y sus implicaciones para la trayectoria de la deuda en el largo plazo. En este contexto, el índice de volatilidad implícita (VIX) alcanzó 52.3 puntos el 8 de abril, su nivel más alto desde 2020, tras los aranceles recíprocos del 2 de abril, pero retrocedió a 16.7 puntos al 30 de junio, impulsado por avances en las negociaciones comerciales. </w:t>
      </w:r>
    </w:p>
    <w:p w14:paraId="40972017"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El S&amp;P 500 subió 10.6% en el trimestre, tras una caída de 12.1% en la primera semana de abril. El dólar, medido por el índice DXY, cayó 7.0%, a su nivel más bajo desde febrero de 2022. El rendimiento del bono del Tesoro a 10 años cerró en 4.23%, mientras que los bonos a mayor plazo subieron ante preocupaciones fiscales, destacando el bono a 30 años, que aumentó 20 pb. Al cierre del trimestre, el índice MSCI de mercados emergentes subió 11.0%, y el de monedas emergentes se apreció 5.3%, impulsados por el debilitamiento del dólar. Destacaron México y Brasil, cuyas monedas se apreciaron 8.4% y 3.8%, respectivamente. El riesgo país, medido por el EMBI+, cayó 26 puntos en el trimestre, tras alcanzar un máximo de 430 puntos el 9 de abril, nivel no visto desde agosto de 2024.</w:t>
      </w:r>
    </w:p>
    <w:p w14:paraId="32476A61"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Durante el segundo trimestre de 2025, la economía mexicana mantuvo un ritmo de crecimiento positivo y mayor al del trimestre previo, superando por segunda ocasión las expectativas del consenso de analistas, que anticipaban una contracción e incluso una posible recesión. El crecimiento del PIB se ubicó por encima de su promedio histórico, impulsado por un repunte en el consumo de los hogares y un sólido desempeño de las exportaciones netas, mientras que la inversión continuó con un crecimiento moderado por la incertidumbre en el entorno económico internacional y la base de comparación del año pasado. </w:t>
      </w:r>
    </w:p>
    <w:p w14:paraId="4C6A5C9C"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Aunque el tipo de cambio se apreció durante el trimestre, éste se mantuvo en niveles más competitivos que los observados el año previo, lo cual mejoró parcialmente la contribución del sector externo al crecimiento de la actividad económica. Asimismo, destacó la solidez de la integración comercial con EE.UU., reflejada en un aumento importante de las exportaciones mexicanas hacia ese país, especialmente en manufactura de alto contenido tecnológico como equipo de cómputo y electrónicos. De acuerdo con la estimación oportuna reportada por el INEGI, durante el segundo trimestre de 2025 el PIB registró un crecimiento trimestral de 0.7%, con cifras ajustadas por estacionalidad. </w:t>
      </w:r>
    </w:p>
    <w:p w14:paraId="04619E17"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Al interior, las actividades primarias disminuyeron en 1.3% trimestral, debido principalmente a una alta base de comparación tras un sólido desempeño el primer trimestre. Las actividades industriales, por su parte, registraron un crecimiento trimestral de 0.8% a pesar del entorno de incertidumbre a nivel global. Finalmente, los servicios mostraron un crecimiento de 0.7%, con desempeños positivos en los servicios vinculados a la demanda interna y los servicios profesionales. </w:t>
      </w:r>
    </w:p>
    <w:p w14:paraId="38800B50"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De acuerdo con la información mensual del Indicador Global de Actividad Económica (IGAE) correspondiente al bimestre abril-mayo, y considerando cifras ajustadas por estacionalidad, el comportamiento de los sectores económicos fue el siguiente: </w:t>
      </w:r>
    </w:p>
    <w:p w14:paraId="3AB266D6"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sym w:font="Symbol" w:char="F0B7"/>
      </w:r>
      <w:r w:rsidRPr="00767B7C">
        <w:rPr>
          <w:rFonts w:ascii="Arial" w:hAnsi="Arial" w:cs="Arial"/>
          <w:sz w:val="18"/>
          <w:szCs w:val="18"/>
        </w:rPr>
        <w:t xml:space="preserve"> Las actividades primarias registraron una contracción bimestral de 2.5%. Si bien durante el periodo aumentaron los niveles de precipitación, persistieron los efectos de la sequía en algunas regiones del norte del país. Asimismo, el alza en los costos de insumos alimenticios y los problemas fitosanitarios que afectaron al pollo y a la res incidieron negativamente en la producción pecuaria. </w:t>
      </w:r>
    </w:p>
    <w:p w14:paraId="07A2FE3D"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sym w:font="Symbol" w:char="F0B7"/>
      </w:r>
      <w:r w:rsidRPr="00767B7C">
        <w:rPr>
          <w:rFonts w:ascii="Arial" w:hAnsi="Arial" w:cs="Arial"/>
          <w:sz w:val="18"/>
          <w:szCs w:val="18"/>
        </w:rPr>
        <w:t xml:space="preserve"> La producción industrial disminuyó 0.1%, afectada por la contracción en la construcción, la minería y la electricidad, a pesar de un repunte en la manufactura en el bimestre. </w:t>
      </w:r>
    </w:p>
    <w:p w14:paraId="08EAABF5" w14:textId="77777777" w:rsidR="00767B7C" w:rsidRPr="00767B7C" w:rsidRDefault="00767B7C" w:rsidP="00767B7C">
      <w:pPr>
        <w:ind w:left="567"/>
        <w:jc w:val="both"/>
        <w:rPr>
          <w:rFonts w:ascii="Arial" w:hAnsi="Arial" w:cs="Arial"/>
          <w:sz w:val="18"/>
          <w:szCs w:val="18"/>
        </w:rPr>
      </w:pPr>
      <w:r w:rsidRPr="00767B7C">
        <w:rPr>
          <w:rFonts w:ascii="Arial" w:hAnsi="Arial" w:cs="Arial"/>
          <w:sz w:val="18"/>
          <w:szCs w:val="18"/>
        </w:rPr>
        <w:t xml:space="preserve">o Las manufacturas crecieron 0.3% bimestral, mostrando resiliencia frente al entorno de incertidumbre a nivel global. Destacaron las industrias orientadas al mercado externo, como la fabricación de equipo de cómputo y electrónicos, maquinaria y equipo, y equipo de transporte. Entre las actividades con mayor orientación al mercado interno sobresalió la fabricación de productos derivados del petróleo y del carbón, impulsada por un repunte en la refinación de gasolinas y diésel. En contraste, las industrias metálicas básicas y la fabricación de productos metálicos registraron caídas de 2.7 y 2.8%, respectivamente, asociadas a las nuevas políticas comerciales que afectaron al sector. </w:t>
      </w:r>
    </w:p>
    <w:p w14:paraId="2611D395" w14:textId="77777777" w:rsidR="00767B7C" w:rsidRPr="00767B7C" w:rsidRDefault="00767B7C" w:rsidP="00767B7C">
      <w:pPr>
        <w:tabs>
          <w:tab w:val="left" w:pos="284"/>
        </w:tabs>
        <w:ind w:left="567"/>
        <w:jc w:val="both"/>
        <w:rPr>
          <w:rFonts w:ascii="Arial" w:hAnsi="Arial" w:cs="Arial"/>
          <w:sz w:val="18"/>
          <w:szCs w:val="18"/>
        </w:rPr>
      </w:pPr>
      <w:r w:rsidRPr="00767B7C">
        <w:rPr>
          <w:rFonts w:ascii="Arial" w:hAnsi="Arial" w:cs="Arial"/>
          <w:sz w:val="18"/>
          <w:szCs w:val="18"/>
        </w:rPr>
        <w:t xml:space="preserve">o La construcción disminuyó 0.4% bimestral, afectada por contracciones tanto en los sectores de edificación como en obras de ingeniería civil. Durante el bimestre, el comportamiento del sector contrastó con una caída </w:t>
      </w:r>
      <w:r w:rsidRPr="00767B7C">
        <w:rPr>
          <w:rFonts w:ascii="Arial" w:hAnsi="Arial" w:cs="Arial"/>
          <w:sz w:val="18"/>
          <w:szCs w:val="18"/>
        </w:rPr>
        <w:lastRenderedPageBreak/>
        <w:t xml:space="preserve">de 2.0% en abril, seguida de un repunte de 2.8% en mayo. En ambos casos, el comportamiento se explicó por las actividades de edificación. </w:t>
      </w:r>
    </w:p>
    <w:p w14:paraId="284D8CB3" w14:textId="77777777" w:rsidR="00767B7C" w:rsidRPr="00767B7C" w:rsidRDefault="00767B7C" w:rsidP="00767B7C">
      <w:pPr>
        <w:tabs>
          <w:tab w:val="left" w:pos="284"/>
        </w:tabs>
        <w:ind w:left="567"/>
        <w:jc w:val="both"/>
        <w:rPr>
          <w:rFonts w:ascii="Arial" w:hAnsi="Arial" w:cs="Arial"/>
          <w:sz w:val="18"/>
          <w:szCs w:val="18"/>
        </w:rPr>
      </w:pPr>
      <w:r w:rsidRPr="00767B7C">
        <w:rPr>
          <w:rFonts w:ascii="Arial" w:hAnsi="Arial" w:cs="Arial"/>
          <w:sz w:val="18"/>
          <w:szCs w:val="18"/>
        </w:rPr>
        <w:t>o La producción minera disminuyó 0.6% bimestral, a pesar de un ligero repunte en la minería petrolera. Lo anterior, debido a una contracción de 2.9% en la minería no petrolera, posiblemente afectada por las nuevas políticas comerciales sobre el acero y el aluminio. o La menor demanda eléctrica por parte de las actividades agropecuarias y manufacturas, las cuales registraron paros de operación por reparaciones, dieron como resultado que el sector eléctrico disminuyera en 0.1%.</w:t>
      </w:r>
    </w:p>
    <w:p w14:paraId="33D1D02B"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sym w:font="Symbol" w:char="F0B7"/>
      </w:r>
      <w:r w:rsidRPr="00767B7C">
        <w:rPr>
          <w:rFonts w:ascii="Arial" w:hAnsi="Arial" w:cs="Arial"/>
          <w:sz w:val="18"/>
          <w:szCs w:val="18"/>
        </w:rPr>
        <w:t xml:space="preserve"> Los servicios presentaron un alza bimestral de 0.4%, registrando crecimientos positivos en 11 de sus 14 sectores. En el periodo destacó el aumento de 3.9% en los servicios de apoyo a negocios; así como un repunte de 1.5% en los servicios de transporte, luego de dos bimestres de contracción. Al igual que estos sectores, continuó el desempeño positivo de los servicios profesionales de 1.1%, que desde el año pasado presentaron un crecimiento notable; resaltando los servicios de arquitectura, contaduría y los asociados a la expansión de la economía digital. Finalmente, los servicios altamente vinculados con el desempeño de la demanda interna como los de esparcimiento y el comercio al por menor, mantuvieron un desempeño positivo.</w:t>
      </w:r>
    </w:p>
    <w:p w14:paraId="137B1BF5"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La información disponible por el lado del gasto sugiere que, durante el segundo trimestre de 2025, el consumo privado repuntó respecto a los niveles observados en el trimestre previo, al tiempo que la inversión siguió afectada por la incertidumbre en el entorno económico internacional y una alta base de comparación del año pasado. Con datos a abril, el consumo privado repuntó 1.1% mensual, con cifras ajustadas por estacionalidad, impulsado por aumentos de 2.0% en el consumo de bienes de origen nacional y de 0.7% en servicios. </w:t>
      </w:r>
    </w:p>
    <w:p w14:paraId="2720A171"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En contraste, el consumo de bienes importados disminuyó 1.0%, afectado por la volatilidad cambiaria y el alza en precios finales tras la imposición de nuevos aranceles a países con los que no se cuenta con algún tratado comercial. De esta manera, en lo que va del año el consumo privado acumuló un crecimiento de 2.2% respecto al cierre de 2024. Las ventas de la Asociación Nacional de Tiendas de Autoservicio y Departamentales (ANTAD) aumentaron 3.2% en el segundo trimestre del año respecto al primero, con cifras ajustadas por estacionalidad. </w:t>
      </w:r>
    </w:p>
    <w:p w14:paraId="4BFBB23A"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Este desempeño fue impulsado por el crecimiento en mayo y junio, particularmente en las ventas de ropa, calzado y mercancías generales, apoyados por los días festivos de mayo y las promociones del Hot Sale 2025. La incertidumbre en el entorno económico internacional siguió afectando las decisiones de inversión. En abril, la inversión fija bruta disminuyó 1.7% mensual, con cifras ajustadas por estacionalidad, influida por caídas de 2.2% en maquinaria y equipo y de 1.1% en construcción. </w:t>
      </w:r>
    </w:p>
    <w:p w14:paraId="7061BF77"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Dentro de este último rubro se observó una caída de 5.7% en el sector residencial, la cual fue compensada parcialmente por el crecimiento de 3.0% en el componente no residencial. La información de la Encuesta Mensual de Empresas Constructoras sugiere que este desempeño en la construcción no residencial estuvo relacionado con un mayor dinamismo en obras viales urbanas, infraestructura eléctrica y proyectos ferroviarios.</w:t>
      </w:r>
    </w:p>
    <w:p w14:paraId="6EFBDFBA"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En el mercado laboral prevaleció un ritmo moderado de creación de empleos, debido a disminuciones en la participación laboral y el desempeño de algunos sectores. Así, entre abril y junio de 2025, la población ocupada registró un nivel promedio de 60 millones, lo que representó un aumento de 487 mil personas respecto al mismo periodo de 2024. Este incremento se concentró en el sector servicios, particularmente en los subsectores de servicios profesionales y de transporte con alzas de 227 mil y 205 mil, respectivamente. </w:t>
      </w:r>
    </w:p>
    <w:p w14:paraId="7FA2B8C8"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Lo anterior compensó las reducciones de 225 mil y de 115 mil en las manufacturas y la construcción, respectivamente. Respecto a la participación laboral, durante el segundo trimestre de 2025, la población económicamente activa (PEA) alcanzó los 61.6 millones de personas. Sin embargo, el incremento de 1.6 millones en la población no económicamente activa (PNEA) generó una disminución de 0.7 </w:t>
      </w:r>
      <w:proofErr w:type="spellStart"/>
      <w:r w:rsidRPr="00767B7C">
        <w:rPr>
          <w:rFonts w:ascii="Arial" w:hAnsi="Arial" w:cs="Arial"/>
          <w:sz w:val="18"/>
          <w:szCs w:val="18"/>
        </w:rPr>
        <w:t>pp</w:t>
      </w:r>
      <w:proofErr w:type="spellEnd"/>
      <w:r w:rsidRPr="00767B7C">
        <w:rPr>
          <w:rFonts w:ascii="Arial" w:hAnsi="Arial" w:cs="Arial"/>
          <w:sz w:val="18"/>
          <w:szCs w:val="18"/>
        </w:rPr>
        <w:t xml:space="preserve"> en la tasa de participación. El incremento en la PNEA se concentró principalmente en la población no disponible, especialmente entre quienes declararon no tener interés en trabajar debido a otras obligaciones. </w:t>
      </w:r>
    </w:p>
    <w:p w14:paraId="794E8F99"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En particular, desde el primer trimestre del año, la población no disponible creció en 1.0 millón de personas. De ese total, 302 mil correspondieron a jóvenes de entre 15 y 24 años, principalmente estudiantes, y 519 mil a adultos mayores de 65 años, en su mayoría pensionados y jubilados. En este contexto, la población desocupada promedió 6 mil personas más que en el mismo periodo de 2024, principalmente entre quienes afirmaron tener una educación </w:t>
      </w:r>
      <w:r w:rsidRPr="00767B7C">
        <w:rPr>
          <w:rFonts w:ascii="Arial" w:hAnsi="Arial" w:cs="Arial"/>
          <w:sz w:val="18"/>
          <w:szCs w:val="18"/>
        </w:rPr>
        <w:lastRenderedPageBreak/>
        <w:t>media superior y superior. Como resultado, la tasa de desocupación se ubicó en 2.7% en el segundo trimestre, sin cambios respecto al año anterior.</w:t>
      </w:r>
    </w:p>
    <w:p w14:paraId="38D01190"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La tasa de informalidad subió 0.5 </w:t>
      </w:r>
      <w:proofErr w:type="spellStart"/>
      <w:r w:rsidRPr="00767B7C">
        <w:rPr>
          <w:rFonts w:ascii="Arial" w:hAnsi="Arial" w:cs="Arial"/>
          <w:sz w:val="18"/>
          <w:szCs w:val="18"/>
        </w:rPr>
        <w:t>pp</w:t>
      </w:r>
      <w:proofErr w:type="spellEnd"/>
      <w:r w:rsidRPr="00767B7C">
        <w:rPr>
          <w:rFonts w:ascii="Arial" w:hAnsi="Arial" w:cs="Arial"/>
          <w:sz w:val="18"/>
          <w:szCs w:val="18"/>
        </w:rPr>
        <w:t xml:space="preserve"> respecto al segundo trimestre del año previo. En contraste, en el segundo trimestre del año, la tasa de subocupación disminuyó 0.4 </w:t>
      </w:r>
      <w:proofErr w:type="spellStart"/>
      <w:r w:rsidRPr="00767B7C">
        <w:rPr>
          <w:rFonts w:ascii="Arial" w:hAnsi="Arial" w:cs="Arial"/>
          <w:sz w:val="18"/>
          <w:szCs w:val="18"/>
        </w:rPr>
        <w:t>pp</w:t>
      </w:r>
      <w:proofErr w:type="spellEnd"/>
      <w:r w:rsidRPr="00767B7C">
        <w:rPr>
          <w:rFonts w:ascii="Arial" w:hAnsi="Arial" w:cs="Arial"/>
          <w:sz w:val="18"/>
          <w:szCs w:val="18"/>
        </w:rPr>
        <w:t xml:space="preserve"> respecto al mismo trimestre de 2024, lo que representó una reducción de 177 mil personas. En el mismo periodo, la tasa de condiciones críticas de ocupación, con salarios mínimos equivalentes base enero de 2025, disminuyó en 5.0 pp.</w:t>
      </w:r>
    </w:p>
    <w:p w14:paraId="771E3801"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Al cierre del segundo trimestre de 2025, el número de puestos de trabajo registrados en el IMSS se mantuvo prácticamente sin cambio respecto al mismo periodo del año previo. Lo anterior fue el resultado de un crecimiento de 233 mil personas en puestos de trabajo permanentes, lo cual fue contrarrestado por una caída de 227 mil personas en puestos eventuales. La pérdida de empleos eventuales se concentró en la construcción y la manufactura, mientras que la creación de puestos permanentes se dio principalmente en el sector servicios. </w:t>
      </w:r>
    </w:p>
    <w:p w14:paraId="7FEA3A7E"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Dentro de estos, los rubros con mejor desempeño fueron comercio, servicios a empresas y transporte. La mayor creación de puestos de trabajo afiliados al IMSS se concentró en los estados de México, Nuevo León y Jalisco, impulsados por el desempeño del sector del comercio. Por el contrario, las menores cifras de creación de empleo se registraron en Ciudad de México, Baja California y Tabasco, como resultado de la contracción en los sectores de la manufactura y la construcción de personal eventual. Durante el periodo, los salarios reales de los trabajadores mantuvieron su tendencia al alza. </w:t>
      </w:r>
    </w:p>
    <w:p w14:paraId="517F3FCF"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El salario real promedio registrado ante el IMSS aumentó 3.2% anual durante el segundo trimestre. De manera similar, el ingreso laboral real promedio reportado en la Encuesta Nacional de Ocupación y Empleo (ENOE) creció 3.1%. Finalmente, entre abril y junio los salarios contractuales de jurisdicción federal se incrementaron 3.4% anual.</w:t>
      </w:r>
    </w:p>
    <w:p w14:paraId="6B3EF9EB"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En materia de precios, durante el segundo trimestre de 2025, la inflación al consumidor repuntó frente al trimestre anterior, afectada por presiones asociadas a precios internacionales de productos pecuarios y por el efecto rezagado de la depreciación del peso sobre las mercancías en los trimestres previos. Además, tanto en mercancías no alimenticias como en frutas y verduras se observaron ajustes al alza, tras haber registrado inflaciones inferiores a su promedio histórico en el primer trimestre. Así, la inflación general anual se ubicó en 4.2%, un incremento de 0.5 </w:t>
      </w:r>
      <w:proofErr w:type="spellStart"/>
      <w:r w:rsidRPr="00767B7C">
        <w:rPr>
          <w:rFonts w:ascii="Arial" w:hAnsi="Arial" w:cs="Arial"/>
          <w:sz w:val="18"/>
          <w:szCs w:val="18"/>
        </w:rPr>
        <w:t>pp</w:t>
      </w:r>
      <w:proofErr w:type="spellEnd"/>
      <w:r w:rsidRPr="00767B7C">
        <w:rPr>
          <w:rFonts w:ascii="Arial" w:hAnsi="Arial" w:cs="Arial"/>
          <w:sz w:val="18"/>
          <w:szCs w:val="18"/>
        </w:rPr>
        <w:t xml:space="preserve"> respecto al trimestre previo.</w:t>
      </w:r>
    </w:p>
    <w:p w14:paraId="18126EE3"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La inflación subyacente se ubicó en 4.1% anual, lo que representó un aumento de 0.4 </w:t>
      </w:r>
      <w:proofErr w:type="spellStart"/>
      <w:r w:rsidRPr="00767B7C">
        <w:rPr>
          <w:rFonts w:ascii="Arial" w:hAnsi="Arial" w:cs="Arial"/>
          <w:sz w:val="18"/>
          <w:szCs w:val="18"/>
        </w:rPr>
        <w:t>pp</w:t>
      </w:r>
      <w:proofErr w:type="spellEnd"/>
      <w:r w:rsidRPr="00767B7C">
        <w:rPr>
          <w:rFonts w:ascii="Arial" w:hAnsi="Arial" w:cs="Arial"/>
          <w:sz w:val="18"/>
          <w:szCs w:val="18"/>
        </w:rPr>
        <w:t xml:space="preserve"> respecto al trimestre anterior. Este repunte se explicó por una aceleración en la inflación de las mercancías, mientras que la de servicios se mantuvo sin cambios en 4.6% anual. La inflación de mercancías se vio presionada por el efecto rezagado de la depreciación del peso en trimestres previos, así como por la normalización en la inflación de mercancías no alimenticias, que pasó de 1.8% en el trimestre previo a 2.8%, en línea con su promedio histórico. </w:t>
      </w:r>
    </w:p>
    <w:p w14:paraId="7E0A67D5"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La inflación no subyacente, por su parte, se ubicó en 4.5% anual, 0.6 </w:t>
      </w:r>
      <w:proofErr w:type="spellStart"/>
      <w:r w:rsidRPr="00767B7C">
        <w:rPr>
          <w:rFonts w:ascii="Arial" w:hAnsi="Arial" w:cs="Arial"/>
          <w:sz w:val="18"/>
          <w:szCs w:val="18"/>
        </w:rPr>
        <w:t>pp</w:t>
      </w:r>
      <w:proofErr w:type="spellEnd"/>
      <w:r w:rsidRPr="00767B7C">
        <w:rPr>
          <w:rFonts w:ascii="Arial" w:hAnsi="Arial" w:cs="Arial"/>
          <w:sz w:val="18"/>
          <w:szCs w:val="18"/>
        </w:rPr>
        <w:t xml:space="preserve"> por encima del primer trimestre, impulsada por la inflación de productos agropecuarios. Persistieron las presiones en artículos como el pollo y la carne de res, asociadas a brotes de gripe aviar en Norteamérica y a una menor oferta en los principales países exportadores de carne. Aunque las frutas y verduras siguieron registrando deflación, ésta fue menor que en el primer trimestre del año, por lo que contribuyeron a una mayor inflación en el segundo trimestre. </w:t>
      </w:r>
    </w:p>
    <w:p w14:paraId="20A0D9EB"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En contraste, la inflación de energéticos disminuyó, apoyada por el acuerdo nacional que ha mantenido el precio de la gasolina regular cerca de 24 pesos por litro. La inflación de precios al productor, excluyendo petróleo, disminuyó luego de varios trimestres al alza, ubicándose en 6.4% anual. Lo anterior se explicó principalmente por la apreciación del peso durante el periodo, cuyo efecto en los precios al productor suele ser más inmediato. Así, la inflación al productor en las actividades primarias fue de 3.5%, mientras que, en las actividades secundarias, excluyendo petróleo, fue de 7.1%, con reducciones de 4.7 y 1.6 </w:t>
      </w:r>
      <w:proofErr w:type="spellStart"/>
      <w:r w:rsidRPr="00767B7C">
        <w:rPr>
          <w:rFonts w:ascii="Arial" w:hAnsi="Arial" w:cs="Arial"/>
          <w:sz w:val="18"/>
          <w:szCs w:val="18"/>
        </w:rPr>
        <w:t>pp</w:t>
      </w:r>
      <w:proofErr w:type="spellEnd"/>
      <w:r w:rsidRPr="00767B7C">
        <w:rPr>
          <w:rFonts w:ascii="Arial" w:hAnsi="Arial" w:cs="Arial"/>
          <w:sz w:val="18"/>
          <w:szCs w:val="18"/>
        </w:rPr>
        <w:t xml:space="preserve"> respecto al trimestre anterior, respectivamente. En contraste, la inflación al productor de los servicios se mantuvo prácticamente en el mismo nivel del trimestre previo al registrar una tasa de 5.6%.</w:t>
      </w:r>
    </w:p>
    <w:p w14:paraId="5FE1A1B5"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Al igual que en el primer trimestre del año, durante el periodo abril-junio, el sector externo continuó contribuyendo al crecimiento de la actividad económica, a pesar de un entorno internacional marcado por la incertidumbre. Esta contribución se vio favorecida por un tipo de cambio real más competitivo que el observado en 2024, lo que impulsó el desempeño de las exportaciones, particularmente en manufactura de alto contenido tecnológico. El valor de las exportaciones creció 1.8% respecto al primer trimestre del año, con cifras ajustadas por estacionalidad. </w:t>
      </w:r>
    </w:p>
    <w:p w14:paraId="63EB2825"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lastRenderedPageBreak/>
        <w:t xml:space="preserve">Este resultado obedeció al aumento de 2.7% en las exportaciones manufactureras no automotrices, donde destacaron los incrementos en productos como computadoras y electrónicos, particularmente hacia EE.UU. Por su parte, las exportaciones automotrices crecieron 0.8%. Asimismo, las exportaciones agropecuarias y petroleras disminuyeron en 4.1 y 9.9%, respectivamente. En el sector agropecuario, se resintieron los efectos del bloqueo a la entrada de ganado mexicano a EE.UU., en tanto que la caída en las exportaciones petroleras estuvo asociada tanto a un menor volumen como a una caída en el precio promedio de la mezcla mexicana de exportación. </w:t>
      </w:r>
    </w:p>
    <w:p w14:paraId="183303B0"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En lo que va de 2025, el comercio entre México y EE.UU. ha seguido al alza, impulsado por el dinamismo del sector de equipo de cómputo y accesorios electrónicos. Entre enero y mayo, las exportaciones de estos productos crecieron 51.4% anual, la tasa más alta desde que se tiene registro. Dentro del sector, sobresalió el desempeño de las exportaciones de computadoras, con un crecimiento anual de 105.4%. Este crecimiento más que compensó la caída de 6.1% en las exportaciones de equipo de transporte, afectadas por las políticas comerciales y la desaceleración del sector en EE.UU. En conjunto, las exportaciones mexicanas a ese país aumentaron 6.2% en el periodo. </w:t>
      </w:r>
    </w:p>
    <w:p w14:paraId="2C5C2B0F"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El valor de las importaciones totales creció 2.2% trimestral, con cifras ajustadas por estacionalidad. Este comportamiento se atribuyó, al incremento en la importación de bienes de consumo (6.0%) y de uso intermedio (2.1%), que contrarrestaron la caída en las importaciones de bienes de capital. En tanto que, las importaciones petroleras aumentaron 13.6%, impulsadas por mayores compras de combustibles como gasolina y diésel. Con cifras ajustadas por estacionalidad, la balanza comercial registró un superávit de 543 millones de dólares en el segundo trimestre de 2025, menor al observado en el trimestre previo de mil 278 millones de dólares. </w:t>
      </w:r>
    </w:p>
    <w:p w14:paraId="20F6D11C"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Lo anterior fue el resultado de un incremento en el saldo deficitario de la balanza petrolera que contrarrestó el mayor superávit de la balanza no petrolera. En el periodo entre abril y mayo de 2025, el flujo de remesas disminuyó 5.4% bimestral, con cifras ajustadas por estacionalidad. Este ajuste refleja en parte una moderación en las condiciones del mercado laboral para trabajadores mexicanos en EE.UU. El flujo acumulado en los primeros cinco meses del año se ubicó en 24 mil 375 millones de dólares, 3.0% por debajo del nivel observado en el mismo periodo de 2024.</w:t>
      </w:r>
    </w:p>
    <w:p w14:paraId="7F9C8B16"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Los ingresos por turismo extranjero mantuvieron su dinamismo y contribuyeron positivamente a la entrada de divisas. Durante los primeros cinco meses del año, el número de visitantes internacionales creció 14.2%, lo que implicó que los ingresos totales por turismo aumentaran 6.4%, respecto al mismo periodo de 2024. Sin embargo, el gasto medio por visitante disminuyó 6.9%, afectado por una mayor afluencia de viajeros fronterizos con estancias más cortas. La cuenta corriente de la balanza de pagos, de acuerdo con la última información disponible al primer trimestre de 2025, mostró un déficit de 7 mil 613 millones de dólares (1.8% del PIB anualizado), menor que el de 22 mil 207 millones (4.7% del PIB) en el mismo periodo de 2024. </w:t>
      </w:r>
    </w:p>
    <w:p w14:paraId="57037590"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Este resultado reflejó, principalmente, un menor déficit en la balanza del ingreso primario, así como un aumento en el saldo superavitario de la balanza de ingreso secundario y la balanza comercial por mercancías no petroleras y de servicios. Lo anterior fue compensado parcialmente por un mayor déficit de la balanza de mercancías petroleras. Los flujos de capital registrados en la cuenta financiera reportaron una entrada neta de recursos (endeudamiento neto al resto del mundo) de 6 mil 870 millones de dólares, menor que la entrada neta de 28 mil 33 millones del primer trimestre de 2024. Esto obedeció a entradas netas en inversión directa y en otra inversión, que no se compensó con la salida neta de recursos en inversión de cartera por 541 millones y derivados financieros de 2 mil 816 millones. Además, los activos de reserva aumentaron en 6 mil 400 millones con respecto al mismo trimestre del año anterior. </w:t>
      </w:r>
    </w:p>
    <w:p w14:paraId="3DAA1536"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Finalmente, respecto a la IED, México continuó atrayendo capital, de tal forma que alcanzó un máximo histórico de 21 mil 373 millones de dólares, con cifras preliminares, para un primer trimestre. En dicho periodo, la IED se concentró principalmente en la manufactura, que atrajo el 43.2% del monto total de inversión, en donde destacó el sector de equipo de transporte, que alcanzó un valor de 3 mil 333 millones de dólares, concentrados en la fabricación de automóviles y camiones y en la fabricación de autopartes.</w:t>
      </w:r>
    </w:p>
    <w:p w14:paraId="3288DB54"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Durante el segundo trimestre de 2025, el sistema financiero mexicano mostró solidez y solvencia con un sector bancario bien capitalizado y con tasas de morosidad históricamente bajas, a pesar de los episodios de volatilidad registrados por los cambios en las políticas comerciales de EE.UU. y las implicaciones para el ritmo de crecimiento de la actividad económica. Al 30 de junio, el tipo de cambio se ubicó en 18.75 pesos por dólar estadounidense, </w:t>
      </w:r>
      <w:r w:rsidRPr="00767B7C">
        <w:rPr>
          <w:rFonts w:ascii="Arial" w:hAnsi="Arial" w:cs="Arial"/>
          <w:sz w:val="18"/>
          <w:szCs w:val="18"/>
        </w:rPr>
        <w:lastRenderedPageBreak/>
        <w:t xml:space="preserve">una apreciación de 9.2% respecto al cierre del trimestre anterior, alcanzando su nivel más bajo desde agosto de 2024. </w:t>
      </w:r>
    </w:p>
    <w:p w14:paraId="519A6B97"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Este comportamiento se explicó, principalmente, por un debilitamiento del dólar, medido por el DXY, que retrocedió 7.0% en el trimestre, así como por el diferencial de tasas entre el Banco de México y la FED, el cual mantuvo el atractivo relativo del peso mexicano. Otras economías emergentes también registraron apreciaciones cambiarias como el real brasileño, el rand sudafricano, el peso chileno y el peso colombiano de 5.0, 3.4, 2.1 y 2.0%, respectivamente. La volatilidad implícita del tipo de cambio a un mes cerró en 9.9% al finalizar el segundo trimestre, lo que representó una disminución de 3.3 pb respecto al trimestre previo. </w:t>
      </w:r>
    </w:p>
    <w:p w14:paraId="23C2AF12"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Asimismo, el riesgo país de México, medido por el EMBI+, disminuyó 24 pb, un descenso mayor al observado en el promedio de economías emergentes, que descendió 19 pb. Por su parte, el Banco de México realizó dos recortes de 50 pb en cada una de sus reuniones, el 15 de mayo y el 26 de junio, con lo que la tasa de referencia se ubicó en 8.00%. En su reunión más reciente, la Junta de Gobierno señaló que evaluará posibles recortes adicionales. Estas decisiones provocaron reducciones a lo largo de toda la curva de rendimientos en pesos: la parte corta reflejó los recortes de tasa con una disminución promedio de 72 pb, mientras que los bonos a 10 años se ubicaron en 9.30%, una caída de 5 pb respecto al cierre del trimestre anterior. Como resultado, la pendiente de la curva de 10 y 2 años se mantuvo positiva en 119 pb.</w:t>
      </w:r>
    </w:p>
    <w:p w14:paraId="1B6462C5"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En el mercado de renta variable, el Índice de Precios y Cotizaciones (IPC) cerró el segundo trimestre de 2025 en 57 mil 450 unidades, lo que representó un incremento de 9.5% respecto al cierre del trimestre anterior. Entre los componentes que destacaron por su desempeño positivo fueron el sector financiero, telecomunicaciones y materiales básicos, que registraron avances de 16.9, 15.3 y 15.2%, respectivamente, mientras que el sector de consumo básico descendió 4.5%, en el mismo periodo. Con base en las últimas cifras disponibles a mayo de 2025, el crédito vigente al sector privado no financiero otorgado por la banca comercial creció 0.8% real respecto a marzo, con cifras ajustadas por estacionalidad. </w:t>
      </w:r>
    </w:p>
    <w:p w14:paraId="7D813693"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El crédito al consumo aumentó 1.4% real, impulsado por créditos personales y automotrices. El crédito a la vivienda creció 0.2% real, por su parte, a pesar de una caída en el segmento de interés social. La cartera empresarial aumentó 0.8% real, sustentado en el desempeño del sector manufacturero, así como por los servicios de comercio y transportes, que compensaron las contracciones observadas en el sector agropecuario, generación de electricidad y minería. El ICAP de la banca comercial se ubicó en 19.7% en abril, superando el mínimo regulatorio de Basilea III (10.5%), mientras que la tasa de morosidad en febrero se ubicó en 2.0% y la ajustada por quitas y castigos se ubicó en 4.2%, por debajo de niveles previos de estrés como los observados en 2009 y 2020.</w:t>
      </w:r>
    </w:p>
    <w:p w14:paraId="616D11BF"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Cabe destacar que el 26 de junio de 2025, la SHCP, por conducto de la Junta de Gobierno de la Comisión Nacional Bancaria y de Valores (CNBV) y con fundamento en la Ley de Instituciones de Crédito y la Ley del Mercado de Valores, decretó la intervención gerencial temporal de CIBanco, Intercam Banco y Vector Casa de Bolsa, después de que el Departamento del Tesoro de EE.UU. los designara como instituciones de preocupación en materia de prevención y lavado de dinero. El objetivo de esta medida fue sustituir a los órganos de administración y a los representantes legales de dichas instituciones, con el fin de salvaguardar los derechos de los ahorradores e inversionistas.</w:t>
      </w:r>
    </w:p>
    <w:p w14:paraId="5659D913"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El impacto de esta medida en el sistema financiero es limitado. Al cierre de abril de 2025, CIBanco e Intercam Banco representaron el 0.6 y 0.9%, respectivamente, del total de activos del sistema bancario. Su participación en el otorgamiento de crédito total es de 0.2 y 0.3%, en el mismo orden, mientras que en la captación total representan el 0.5% cada uno. Además, los ahorradores cuentan, en caso de ser necesario, con la protección del seguro de depósitos del Instituto para la Protección al Ahorro Bancario (IPAB). Asimismo, Vector también mantiene una participación reducida en el mercado de casas de bolsa. Al cierre de marzo de 2025, esta institución representó el 3.7% de los activos del sector y el 2.1% del monto total de operaciones por cuentas de clientes del total.</w:t>
      </w:r>
    </w:p>
    <w:p w14:paraId="4EC44494"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Tlaxcala tiene una localización geográfica estratégica al encontrarse en la región centro del país, integrada por los Estados de Guanajuato, Hidalgo, Morelos, Puebla, Querétaro, Ciudad de México y Estado de México; colindando con Hidalgo, Puebla y el Estado de México. En 2020, la población en Tlaxcala fue de 1,342,977 habitantes (48.4% hombres y 51.6% mujeres). En comparación a 2010, la población en Tlaxcala creció un 14.8 %.</w:t>
      </w:r>
    </w:p>
    <w:p w14:paraId="24E45318"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La actividad económica del Estado de Tlaxcala ha dado signos claros de fortalecimiento, impulsada principalmente por políticas públicas enfocadas hacia el desarrollo económico, el </w:t>
      </w:r>
      <w:proofErr w:type="spellStart"/>
      <w:r w:rsidRPr="00767B7C">
        <w:rPr>
          <w:rFonts w:ascii="Arial" w:hAnsi="Arial" w:cs="Arial"/>
          <w:sz w:val="18"/>
          <w:szCs w:val="18"/>
        </w:rPr>
        <w:t>emprendedurismo</w:t>
      </w:r>
      <w:proofErr w:type="spellEnd"/>
      <w:r w:rsidRPr="00767B7C">
        <w:rPr>
          <w:rFonts w:ascii="Arial" w:hAnsi="Arial" w:cs="Arial"/>
          <w:sz w:val="18"/>
          <w:szCs w:val="18"/>
        </w:rPr>
        <w:t xml:space="preserve"> y la promoción de la inversión. </w:t>
      </w:r>
      <w:r w:rsidRPr="00767B7C">
        <w:rPr>
          <w:rFonts w:ascii="Arial" w:hAnsi="Arial" w:cs="Arial"/>
          <w:sz w:val="18"/>
          <w:szCs w:val="18"/>
        </w:rPr>
        <w:lastRenderedPageBreak/>
        <w:t xml:space="preserve">El Instituto Nacional de Estadística y Geografía (INEGI), dio a conocer mediante los resultados del Censo Económico 2024, que en el Estado operaron 107 mil 210 establecimientos en diversos rubros, generando empleos para cerca de trescientas ochenta mil personas. Es de resaltar que más un aproximado de siete mil negociaciones de reciente creación, observaron una recuperación en sus actividades económicas. Más del noventa por ciento de las unidades económicas en la Entidad son microempresas, mismas que generan el sesenta y cuatro por ciento de los empleos creados en el sector privado, demostrando avances significativos en la mejora regulatoria para apoyar al </w:t>
      </w:r>
      <w:proofErr w:type="spellStart"/>
      <w:r w:rsidRPr="00767B7C">
        <w:rPr>
          <w:rFonts w:ascii="Arial" w:hAnsi="Arial" w:cs="Arial"/>
          <w:sz w:val="18"/>
          <w:szCs w:val="18"/>
        </w:rPr>
        <w:t>emprendedurismo</w:t>
      </w:r>
      <w:proofErr w:type="spellEnd"/>
      <w:r w:rsidRPr="00767B7C">
        <w:rPr>
          <w:rFonts w:ascii="Arial" w:hAnsi="Arial" w:cs="Arial"/>
          <w:sz w:val="18"/>
          <w:szCs w:val="18"/>
        </w:rPr>
        <w:t xml:space="preserve"> que redunda de forma directa en el bienestar de las familias tlaxcaltecas.</w:t>
      </w:r>
    </w:p>
    <w:p w14:paraId="535519FF"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El Sistema de Apertura Rápida de Empresas (SARE), promovido a través de la Secretaría de Desarrollo Económico (SEDECO), y que a la fecha cuenta con 22 ventanillas certificadas, facilitó el establecimiento de negocios en diversas comunidades de los municipios del Estado, ya que ha disminuido la necesidad de traslados y la eliminación de trámites burocráticos, permitiendo posicionar a Tlaxcala como un destino confiable para la inversión nacional y extranjera.</w:t>
      </w:r>
    </w:p>
    <w:p w14:paraId="798268CA"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Actualmente 22 países invierten en la entidad, lo que ha contribuido a la consolidación de 39 nuevas inversiones y 33 expansiones empresariales, lo que ha generado una derrama superior a 20 mil millones de pesos en capital privado. En 2024, el estado captó 94.2 millones de dólares en Inversión Extranjera Directa (IED), lo que refleja la confianza de los inversionistas internacionales en el potencial económico de la entidad. Esta inversión proviene de diversos países, entre los que se incluyen Alemania, España, Estados Unidos, Argentina, Australia, Bélgica, Brasil, India, Japón, Países Bajos, Reino Unido y Suecia.</w:t>
      </w:r>
    </w:p>
    <w:p w14:paraId="2D33B182"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La participación de inversionistas extranjeros en la Entidad contribuye a la generación de nuevos empleos, al desarrollo local y a la captación de divisas que refuerzan la actividad económica de Tlaxcala; alcanzando la cifra histórica de 118 mil 587 empleos formales generados. A pesar de los retos que aún enfrenta la industria de Tlaxcala, especialmente en sectores como la construcción y las industrias manufactureras, el incremento en la actividad industrial refleja una recuperación parcial y un entorno económico en avance. Este impulso también ha mejorado las condiciones laborales de los trabajadores, ya que la remuneración promedio anual pasó de 124 mil 468 pesos en 2018 a 133 mil 738 pesos en 2023; asimismo, el valor agregado censal bruto creció 4.6%, para ubicarse en más de 80 mil millones de pesos.</w:t>
      </w:r>
    </w:p>
    <w:p w14:paraId="78C916AE"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Es de resaltar que el Estado avanzó seis lugares en el Índice de Competitividad Estatal 2025, elaborado por el Instituto Mexicano para la Competitividad A.C. (IMCO). Asimismo, se consolidó la marca “Hecho en Tlaxcala”, dando proyección nacional a micro y pequeñas empresas locales, permitiendo ubicar sus productos en tiendas de conveniencia y autoservicio.</w:t>
      </w:r>
    </w:p>
    <w:p w14:paraId="7A607FE7"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El apoyo efectivo al </w:t>
      </w:r>
      <w:proofErr w:type="spellStart"/>
      <w:r w:rsidRPr="00767B7C">
        <w:rPr>
          <w:rFonts w:ascii="Arial" w:hAnsi="Arial" w:cs="Arial"/>
          <w:sz w:val="18"/>
          <w:szCs w:val="18"/>
        </w:rPr>
        <w:t>emprendedurismo</w:t>
      </w:r>
      <w:proofErr w:type="spellEnd"/>
      <w:r w:rsidRPr="00767B7C">
        <w:rPr>
          <w:rFonts w:ascii="Arial" w:hAnsi="Arial" w:cs="Arial"/>
          <w:sz w:val="18"/>
          <w:szCs w:val="18"/>
        </w:rPr>
        <w:t xml:space="preserve"> por parte del gobierno estatal, se ha traducido en más de 1,500 millones de pesos, destinados a microcréditos, financiamientos y subsidios, a través de diferentes Secretarías, tales como de Desarrollo Económico, de Impulso Agropecuario, de Bienestar, del Fondo Macro para el Desarrollo Integral de Tlaxcala y del Sistema Estatal para el Desarrollo Integral de la Familia.</w:t>
      </w:r>
    </w:p>
    <w:p w14:paraId="2252A8D6"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Asimismo, Tlaxcala es el primer Estado del país en contar con una guardería empresarial, que respalda directamente a mujeres trabajadoras y madres emprendedoras, siendo una iniciativa inclusiva y generadora de bienestar para las familias tlaxcaltecas.</w:t>
      </w:r>
    </w:p>
    <w:p w14:paraId="708D4EA0"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La actividad económica de Tlaxcala creció en 1.1 por ciento durante el primer trimestre de 2025 en comparación con el mismo periodo del año previo; principalmente impulsada por las actividades primarias y terciarias, de acuerdo a los datos dados a conocer por el INEGI.</w:t>
      </w:r>
    </w:p>
    <w:p w14:paraId="780E4383" w14:textId="77777777" w:rsidR="00767B7C" w:rsidRPr="00767B7C" w:rsidRDefault="00767B7C" w:rsidP="00767B7C">
      <w:pPr>
        <w:tabs>
          <w:tab w:val="left" w:pos="284"/>
        </w:tabs>
        <w:ind w:left="284"/>
        <w:jc w:val="both"/>
        <w:rPr>
          <w:rFonts w:ascii="Arial" w:hAnsi="Arial" w:cs="Arial"/>
          <w:sz w:val="18"/>
          <w:szCs w:val="18"/>
        </w:rPr>
      </w:pPr>
    </w:p>
    <w:p w14:paraId="5640EE4D" w14:textId="77777777" w:rsidR="00767B7C" w:rsidRPr="00767B7C" w:rsidRDefault="00767B7C" w:rsidP="00767B7C">
      <w:pPr>
        <w:tabs>
          <w:tab w:val="left" w:pos="284"/>
        </w:tabs>
        <w:ind w:left="284"/>
        <w:jc w:val="both"/>
        <w:rPr>
          <w:rFonts w:ascii="Arial" w:hAnsi="Arial" w:cs="Arial"/>
          <w:sz w:val="18"/>
          <w:szCs w:val="18"/>
        </w:rPr>
      </w:pPr>
    </w:p>
    <w:p w14:paraId="1402E79A" w14:textId="77777777" w:rsidR="00767B7C" w:rsidRPr="00767B7C" w:rsidRDefault="00767B7C" w:rsidP="00767B7C">
      <w:pPr>
        <w:tabs>
          <w:tab w:val="left" w:pos="284"/>
        </w:tabs>
        <w:ind w:left="284"/>
        <w:jc w:val="both"/>
        <w:rPr>
          <w:rFonts w:ascii="Arial" w:hAnsi="Arial" w:cs="Arial"/>
          <w:sz w:val="18"/>
          <w:szCs w:val="18"/>
        </w:rPr>
      </w:pPr>
    </w:p>
    <w:p w14:paraId="4E7BBA70" w14:textId="77777777" w:rsidR="00767B7C" w:rsidRPr="00767B7C" w:rsidRDefault="00767B7C" w:rsidP="00767B7C">
      <w:pPr>
        <w:tabs>
          <w:tab w:val="left" w:pos="284"/>
        </w:tabs>
        <w:ind w:left="284"/>
        <w:jc w:val="both"/>
        <w:rPr>
          <w:rFonts w:ascii="Arial" w:hAnsi="Arial" w:cs="Arial"/>
          <w:sz w:val="18"/>
          <w:szCs w:val="18"/>
        </w:rPr>
      </w:pPr>
    </w:p>
    <w:p w14:paraId="7BAC3D11" w14:textId="77777777" w:rsidR="00767B7C" w:rsidRPr="00767B7C" w:rsidRDefault="00767B7C" w:rsidP="00767B7C">
      <w:pPr>
        <w:tabs>
          <w:tab w:val="left" w:pos="284"/>
        </w:tabs>
        <w:ind w:left="284"/>
        <w:jc w:val="both"/>
        <w:rPr>
          <w:rFonts w:ascii="Arial" w:hAnsi="Arial" w:cs="Arial"/>
          <w:sz w:val="18"/>
          <w:szCs w:val="18"/>
        </w:rPr>
      </w:pPr>
    </w:p>
    <w:p w14:paraId="19AFA1F9" w14:textId="77777777" w:rsidR="00767B7C" w:rsidRPr="00767B7C" w:rsidRDefault="00767B7C" w:rsidP="00767B7C">
      <w:pPr>
        <w:tabs>
          <w:tab w:val="left" w:pos="284"/>
        </w:tabs>
        <w:ind w:left="284"/>
        <w:jc w:val="both"/>
        <w:rPr>
          <w:rFonts w:ascii="Arial" w:hAnsi="Arial" w:cs="Arial"/>
          <w:sz w:val="18"/>
          <w:szCs w:val="18"/>
        </w:rPr>
      </w:pPr>
    </w:p>
    <w:p w14:paraId="31322326" w14:textId="748B6239" w:rsidR="00767B7C" w:rsidRPr="00767B7C" w:rsidRDefault="00767B7C" w:rsidP="00600180">
      <w:pPr>
        <w:tabs>
          <w:tab w:val="left" w:pos="284"/>
        </w:tabs>
        <w:spacing w:after="0"/>
        <w:ind w:left="284"/>
        <w:jc w:val="center"/>
        <w:rPr>
          <w:rFonts w:ascii="Arial" w:hAnsi="Arial" w:cs="Arial"/>
          <w:b/>
          <w:bCs/>
          <w:sz w:val="16"/>
          <w:szCs w:val="16"/>
        </w:rPr>
      </w:pPr>
      <w:r w:rsidRPr="00767B7C">
        <w:rPr>
          <w:rFonts w:ascii="Arial" w:hAnsi="Arial" w:cs="Arial"/>
          <w:b/>
          <w:bCs/>
          <w:sz w:val="16"/>
          <w:szCs w:val="16"/>
        </w:rPr>
        <w:lastRenderedPageBreak/>
        <w:t>Variación anual y contribución de la actividad económica estatal</w:t>
      </w:r>
    </w:p>
    <w:p w14:paraId="6B7B3887" w14:textId="77777777" w:rsidR="00767B7C" w:rsidRPr="00767B7C" w:rsidRDefault="00767B7C" w:rsidP="00600180">
      <w:pPr>
        <w:tabs>
          <w:tab w:val="left" w:pos="284"/>
        </w:tabs>
        <w:spacing w:after="0"/>
        <w:ind w:left="284"/>
        <w:jc w:val="center"/>
        <w:rPr>
          <w:rFonts w:ascii="Arial" w:hAnsi="Arial" w:cs="Arial"/>
          <w:b/>
          <w:bCs/>
          <w:sz w:val="16"/>
          <w:szCs w:val="16"/>
        </w:rPr>
      </w:pPr>
      <w:r w:rsidRPr="00767B7C">
        <w:rPr>
          <w:rFonts w:ascii="Arial" w:hAnsi="Arial" w:cs="Arial"/>
          <w:b/>
          <w:bCs/>
          <w:sz w:val="16"/>
          <w:szCs w:val="16"/>
        </w:rPr>
        <w:t>primer trimestre de 20251/</w:t>
      </w:r>
    </w:p>
    <w:tbl>
      <w:tblPr>
        <w:tblW w:w="5000" w:type="pct"/>
        <w:tblCellMar>
          <w:left w:w="0" w:type="dxa"/>
          <w:right w:w="0" w:type="dxa"/>
        </w:tblCellMar>
        <w:tblLook w:val="04A0" w:firstRow="1" w:lastRow="0" w:firstColumn="1" w:lastColumn="0" w:noHBand="0" w:noVBand="1"/>
      </w:tblPr>
      <w:tblGrid>
        <w:gridCol w:w="4583"/>
        <w:gridCol w:w="148"/>
        <w:gridCol w:w="4629"/>
      </w:tblGrid>
      <w:tr w:rsidR="00767B7C" w:rsidRPr="00767B7C" w14:paraId="065DD15B" w14:textId="77777777" w:rsidTr="007B687B">
        <w:trPr>
          <w:trHeight w:hRule="exact" w:val="567"/>
        </w:trPr>
        <w:tc>
          <w:tcPr>
            <w:tcW w:w="4910" w:type="dxa"/>
            <w:vAlign w:val="center"/>
          </w:tcPr>
          <w:p w14:paraId="71347712" w14:textId="77777777" w:rsidR="00767B7C" w:rsidRPr="00767B7C" w:rsidRDefault="00767B7C" w:rsidP="00600180">
            <w:pPr>
              <w:tabs>
                <w:tab w:val="left" w:pos="284"/>
              </w:tabs>
              <w:spacing w:after="0"/>
              <w:ind w:left="284"/>
              <w:jc w:val="center"/>
              <w:rPr>
                <w:rFonts w:ascii="Arial" w:hAnsi="Arial" w:cs="Arial"/>
                <w:b/>
                <w:bCs/>
                <w:sz w:val="16"/>
                <w:szCs w:val="16"/>
              </w:rPr>
            </w:pPr>
            <w:r w:rsidRPr="00767B7C">
              <w:rPr>
                <w:rFonts w:ascii="Arial" w:hAnsi="Arial" w:cs="Arial"/>
                <w:b/>
                <w:bCs/>
                <w:sz w:val="16"/>
                <w:szCs w:val="16"/>
              </w:rPr>
              <w:t xml:space="preserve">Variación porcentual real </w:t>
            </w:r>
            <w:r w:rsidRPr="00767B7C">
              <w:rPr>
                <w:rFonts w:ascii="Arial" w:hAnsi="Arial" w:cs="Arial"/>
                <w:b/>
                <w:bCs/>
                <w:sz w:val="16"/>
                <w:szCs w:val="16"/>
              </w:rPr>
              <w:br/>
              <w:t>respecto al primer trimestre de 2024</w:t>
            </w:r>
          </w:p>
        </w:tc>
        <w:tc>
          <w:tcPr>
            <w:tcW w:w="148" w:type="dxa"/>
            <w:vAlign w:val="center"/>
          </w:tcPr>
          <w:p w14:paraId="04C8DA44" w14:textId="77777777" w:rsidR="00767B7C" w:rsidRPr="00767B7C" w:rsidRDefault="00767B7C" w:rsidP="00600180">
            <w:pPr>
              <w:tabs>
                <w:tab w:val="left" w:pos="284"/>
              </w:tabs>
              <w:spacing w:after="0"/>
              <w:ind w:left="284"/>
              <w:jc w:val="center"/>
              <w:rPr>
                <w:rFonts w:ascii="Arial" w:hAnsi="Arial" w:cs="Arial"/>
                <w:b/>
                <w:bCs/>
                <w:sz w:val="16"/>
                <w:szCs w:val="16"/>
              </w:rPr>
            </w:pPr>
          </w:p>
        </w:tc>
        <w:tc>
          <w:tcPr>
            <w:tcW w:w="4916" w:type="dxa"/>
            <w:vAlign w:val="center"/>
          </w:tcPr>
          <w:p w14:paraId="286A0566" w14:textId="77777777" w:rsidR="00767B7C" w:rsidRPr="00767B7C" w:rsidRDefault="00767B7C" w:rsidP="00600180">
            <w:pPr>
              <w:tabs>
                <w:tab w:val="left" w:pos="284"/>
              </w:tabs>
              <w:spacing w:after="0"/>
              <w:ind w:left="284"/>
              <w:jc w:val="center"/>
              <w:rPr>
                <w:rFonts w:ascii="Arial" w:hAnsi="Arial" w:cs="Arial"/>
                <w:b/>
                <w:bCs/>
                <w:sz w:val="16"/>
                <w:szCs w:val="16"/>
              </w:rPr>
            </w:pPr>
            <w:r w:rsidRPr="00767B7C">
              <w:rPr>
                <w:rFonts w:ascii="Arial" w:hAnsi="Arial" w:cs="Arial"/>
                <w:b/>
                <w:bCs/>
                <w:sz w:val="16"/>
                <w:szCs w:val="16"/>
              </w:rPr>
              <w:t xml:space="preserve">Contribución a la variación real </w:t>
            </w:r>
            <w:r w:rsidRPr="00767B7C">
              <w:rPr>
                <w:rFonts w:ascii="Arial" w:hAnsi="Arial" w:cs="Arial"/>
                <w:b/>
                <w:bCs/>
                <w:sz w:val="16"/>
                <w:szCs w:val="16"/>
              </w:rPr>
              <w:br/>
              <w:t>de la actividad económica nacional2/</w:t>
            </w:r>
          </w:p>
        </w:tc>
      </w:tr>
      <w:tr w:rsidR="00767B7C" w:rsidRPr="00767B7C" w14:paraId="17A5BA8D" w14:textId="77777777" w:rsidTr="007B687B">
        <w:tblPrEx>
          <w:tblCellMar>
            <w:left w:w="70" w:type="dxa"/>
            <w:right w:w="70" w:type="dxa"/>
          </w:tblCellMar>
        </w:tblPrEx>
        <w:trPr>
          <w:trHeight w:val="7659"/>
        </w:trPr>
        <w:tc>
          <w:tcPr>
            <w:tcW w:w="4910" w:type="dxa"/>
            <w:vAlign w:val="center"/>
          </w:tcPr>
          <w:p w14:paraId="5835457B" w14:textId="0098B0D3"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noProof/>
                <w:sz w:val="18"/>
                <w:szCs w:val="18"/>
              </w:rPr>
              <w:drawing>
                <wp:inline distT="0" distB="0" distL="0" distR="0" wp14:anchorId="27F500F2" wp14:editId="5A6E5DBA">
                  <wp:extent cx="2557780" cy="6363801"/>
                  <wp:effectExtent l="0" t="0" r="13970" b="18415"/>
                  <wp:docPr id="821563122"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154" w:type="dxa"/>
            <w:vAlign w:val="center"/>
          </w:tcPr>
          <w:p w14:paraId="0EB76D15" w14:textId="77777777" w:rsidR="00767B7C" w:rsidRPr="00767B7C" w:rsidRDefault="00767B7C" w:rsidP="00767B7C">
            <w:pPr>
              <w:tabs>
                <w:tab w:val="left" w:pos="284"/>
              </w:tabs>
              <w:ind w:left="284"/>
              <w:jc w:val="both"/>
              <w:rPr>
                <w:rFonts w:ascii="Arial" w:hAnsi="Arial" w:cs="Arial"/>
                <w:sz w:val="18"/>
                <w:szCs w:val="18"/>
              </w:rPr>
            </w:pPr>
          </w:p>
        </w:tc>
        <w:tc>
          <w:tcPr>
            <w:tcW w:w="4910" w:type="dxa"/>
            <w:vAlign w:val="center"/>
          </w:tcPr>
          <w:p w14:paraId="2DE07999" w14:textId="350D8A3E"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noProof/>
                <w:sz w:val="18"/>
                <w:szCs w:val="18"/>
              </w:rPr>
              <w:drawing>
                <wp:inline distT="0" distB="0" distL="0" distR="0" wp14:anchorId="7D3205FF" wp14:editId="36330E30">
                  <wp:extent cx="2606040" cy="6321517"/>
                  <wp:effectExtent l="0" t="0" r="3810" b="3175"/>
                  <wp:docPr id="639860634"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4BF27024" w14:textId="77777777" w:rsidR="00767B7C" w:rsidRPr="00767B7C" w:rsidRDefault="00767B7C" w:rsidP="00600180">
      <w:pPr>
        <w:tabs>
          <w:tab w:val="left" w:pos="284"/>
        </w:tabs>
        <w:spacing w:after="0"/>
        <w:ind w:left="284"/>
        <w:jc w:val="both"/>
        <w:rPr>
          <w:rFonts w:ascii="Arial" w:hAnsi="Arial" w:cs="Arial"/>
          <w:b/>
          <w:bCs/>
          <w:sz w:val="12"/>
          <w:szCs w:val="12"/>
        </w:rPr>
      </w:pPr>
      <w:r w:rsidRPr="00767B7C">
        <w:rPr>
          <w:rFonts w:ascii="Arial" w:hAnsi="Arial" w:cs="Arial"/>
          <w:b/>
          <w:bCs/>
          <w:sz w:val="12"/>
          <w:szCs w:val="12"/>
        </w:rPr>
        <w:t>1/ Cifras preliminares.</w:t>
      </w:r>
    </w:p>
    <w:p w14:paraId="2EC4E268" w14:textId="77777777" w:rsidR="00767B7C" w:rsidRPr="00767B7C" w:rsidRDefault="00767B7C" w:rsidP="00600180">
      <w:pPr>
        <w:tabs>
          <w:tab w:val="left" w:pos="284"/>
        </w:tabs>
        <w:spacing w:after="0"/>
        <w:ind w:left="284"/>
        <w:jc w:val="both"/>
        <w:rPr>
          <w:rFonts w:ascii="Arial" w:hAnsi="Arial" w:cs="Arial"/>
          <w:b/>
          <w:bCs/>
          <w:sz w:val="12"/>
          <w:szCs w:val="12"/>
        </w:rPr>
      </w:pPr>
      <w:r w:rsidRPr="00767B7C">
        <w:rPr>
          <w:rFonts w:ascii="Arial" w:hAnsi="Arial" w:cs="Arial"/>
          <w:b/>
          <w:bCs/>
          <w:sz w:val="12"/>
          <w:szCs w:val="12"/>
        </w:rPr>
        <w:t>2/ Las contribuciones se obtienen ponderando las tasas de crecimiento con la participación que cada estado tiene en la actividad económica nacional.</w:t>
      </w:r>
    </w:p>
    <w:p w14:paraId="522E74A4" w14:textId="52A86CBE" w:rsidR="00767B7C" w:rsidRPr="00767B7C" w:rsidRDefault="00767B7C" w:rsidP="00767B7C">
      <w:pPr>
        <w:tabs>
          <w:tab w:val="left" w:pos="284"/>
        </w:tabs>
        <w:ind w:left="284"/>
        <w:jc w:val="both"/>
        <w:rPr>
          <w:rFonts w:ascii="Arial" w:hAnsi="Arial" w:cs="Arial"/>
          <w:b/>
          <w:bCs/>
          <w:sz w:val="12"/>
          <w:szCs w:val="12"/>
        </w:rPr>
      </w:pPr>
      <w:r w:rsidRPr="00767B7C">
        <w:rPr>
          <w:rFonts w:ascii="Arial" w:hAnsi="Arial" w:cs="Arial"/>
          <w:b/>
          <w:bCs/>
          <w:sz w:val="12"/>
          <w:szCs w:val="12"/>
        </w:rPr>
        <w:t>Fuente:</w:t>
      </w:r>
      <w:r w:rsidR="00600180">
        <w:rPr>
          <w:rFonts w:ascii="Arial" w:hAnsi="Arial" w:cs="Arial"/>
          <w:b/>
          <w:bCs/>
          <w:sz w:val="12"/>
          <w:szCs w:val="12"/>
        </w:rPr>
        <w:t xml:space="preserve"> </w:t>
      </w:r>
      <w:proofErr w:type="spellStart"/>
      <w:r w:rsidRPr="00767B7C">
        <w:rPr>
          <w:rFonts w:ascii="Arial" w:hAnsi="Arial" w:cs="Arial"/>
          <w:b/>
          <w:bCs/>
          <w:sz w:val="12"/>
          <w:szCs w:val="12"/>
        </w:rPr>
        <w:t>inegi</w:t>
      </w:r>
      <w:proofErr w:type="spellEnd"/>
      <w:r w:rsidRPr="00767B7C">
        <w:rPr>
          <w:rFonts w:ascii="Arial" w:hAnsi="Arial" w:cs="Arial"/>
          <w:b/>
          <w:bCs/>
          <w:sz w:val="12"/>
          <w:szCs w:val="12"/>
        </w:rPr>
        <w:t>. Sistema de Cuentas Nacionales de México (</w:t>
      </w:r>
      <w:proofErr w:type="spellStart"/>
      <w:r w:rsidRPr="00767B7C">
        <w:rPr>
          <w:rFonts w:ascii="Arial" w:hAnsi="Arial" w:cs="Arial"/>
          <w:b/>
          <w:bCs/>
          <w:sz w:val="12"/>
          <w:szCs w:val="12"/>
        </w:rPr>
        <w:t>scnm</w:t>
      </w:r>
      <w:proofErr w:type="spellEnd"/>
      <w:r w:rsidRPr="00767B7C">
        <w:rPr>
          <w:rFonts w:ascii="Arial" w:hAnsi="Arial" w:cs="Arial"/>
          <w:b/>
          <w:bCs/>
          <w:sz w:val="12"/>
          <w:szCs w:val="12"/>
        </w:rPr>
        <w:t>). Indicador Trimestral de la Actividad Económica Estatal (</w:t>
      </w:r>
      <w:proofErr w:type="spellStart"/>
      <w:r w:rsidRPr="00767B7C">
        <w:rPr>
          <w:rFonts w:ascii="Arial" w:hAnsi="Arial" w:cs="Arial"/>
          <w:b/>
          <w:bCs/>
          <w:sz w:val="12"/>
          <w:szCs w:val="12"/>
        </w:rPr>
        <w:t>itaee</w:t>
      </w:r>
      <w:proofErr w:type="spellEnd"/>
      <w:r w:rsidRPr="00767B7C">
        <w:rPr>
          <w:rFonts w:ascii="Arial" w:hAnsi="Arial" w:cs="Arial"/>
          <w:b/>
          <w:bCs/>
          <w:sz w:val="12"/>
          <w:szCs w:val="12"/>
        </w:rPr>
        <w:t>), 2025.</w:t>
      </w:r>
    </w:p>
    <w:p w14:paraId="5B3D8EA5"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El Indicador Trimestral de Actividad Económica Estatal (ITAEE), ubica a la entidad en la posición 20 respecto al resto de los estados en cuanto al crecimiento de su actividad económica. De enero a marzo de este año, las entidades que registraron un mayor incremento en su actividad económica fueron Guerrero (6.8%), Oaxaca (5.6%) y Nayarit (4.7%), mientras que en el otro extremo están Quintana Roo (-9.4%), Tabasco (-12.8%), y Campeche (-16.7%) con pérdidas en su actividad.</w:t>
      </w:r>
    </w:p>
    <w:p w14:paraId="63962C53" w14:textId="77777777" w:rsidR="00767B7C" w:rsidRDefault="00767B7C" w:rsidP="00767B7C">
      <w:pPr>
        <w:tabs>
          <w:tab w:val="left" w:pos="284"/>
        </w:tabs>
        <w:ind w:left="284"/>
        <w:jc w:val="both"/>
        <w:rPr>
          <w:rFonts w:ascii="Arial" w:hAnsi="Arial" w:cs="Arial"/>
          <w:sz w:val="18"/>
          <w:szCs w:val="18"/>
        </w:rPr>
      </w:pPr>
    </w:p>
    <w:p w14:paraId="132F6AEF" w14:textId="77777777" w:rsidR="00767B7C" w:rsidRPr="00600180" w:rsidRDefault="00767B7C" w:rsidP="00600180">
      <w:pPr>
        <w:tabs>
          <w:tab w:val="left" w:pos="284"/>
        </w:tabs>
        <w:spacing w:after="0"/>
        <w:ind w:left="284"/>
        <w:jc w:val="center"/>
        <w:rPr>
          <w:rFonts w:ascii="Arial" w:hAnsi="Arial" w:cs="Arial"/>
          <w:b/>
          <w:bCs/>
          <w:sz w:val="18"/>
          <w:szCs w:val="18"/>
        </w:rPr>
      </w:pPr>
      <w:r w:rsidRPr="00600180">
        <w:rPr>
          <w:rFonts w:ascii="Arial" w:hAnsi="Arial" w:cs="Arial"/>
          <w:b/>
          <w:bCs/>
          <w:sz w:val="18"/>
          <w:szCs w:val="18"/>
        </w:rPr>
        <w:lastRenderedPageBreak/>
        <w:t>VARIACIÓN DE LA ACTIVIDAD ECONÓMICA ESTATAL</w:t>
      </w:r>
    </w:p>
    <w:p w14:paraId="1D261331" w14:textId="77777777" w:rsidR="00767B7C" w:rsidRPr="00600180" w:rsidRDefault="00767B7C" w:rsidP="00600180">
      <w:pPr>
        <w:tabs>
          <w:tab w:val="left" w:pos="284"/>
        </w:tabs>
        <w:spacing w:after="0"/>
        <w:ind w:left="284"/>
        <w:jc w:val="center"/>
        <w:rPr>
          <w:rFonts w:ascii="Arial" w:hAnsi="Arial" w:cs="Arial"/>
          <w:b/>
          <w:bCs/>
          <w:sz w:val="18"/>
          <w:szCs w:val="18"/>
        </w:rPr>
      </w:pPr>
      <w:r w:rsidRPr="00600180">
        <w:rPr>
          <w:rFonts w:ascii="Arial" w:hAnsi="Arial" w:cs="Arial"/>
          <w:b/>
          <w:bCs/>
          <w:sz w:val="18"/>
          <w:szCs w:val="18"/>
        </w:rPr>
        <w:t>cifras desestacionalizadas, primer trimestre de 2025</w:t>
      </w:r>
    </w:p>
    <w:p w14:paraId="58BAF366" w14:textId="77777777" w:rsidR="00767B7C" w:rsidRPr="00600180" w:rsidRDefault="00767B7C" w:rsidP="00600180">
      <w:pPr>
        <w:tabs>
          <w:tab w:val="left" w:pos="284"/>
        </w:tabs>
        <w:spacing w:after="0"/>
        <w:ind w:left="284"/>
        <w:jc w:val="center"/>
        <w:rPr>
          <w:rFonts w:ascii="Arial" w:hAnsi="Arial" w:cs="Arial"/>
          <w:b/>
          <w:bCs/>
          <w:sz w:val="18"/>
          <w:szCs w:val="18"/>
        </w:rPr>
      </w:pPr>
      <w:r w:rsidRPr="00600180">
        <w:rPr>
          <w:rFonts w:ascii="Arial" w:hAnsi="Arial" w:cs="Arial"/>
          <w:b/>
          <w:bCs/>
          <w:sz w:val="18"/>
          <w:szCs w:val="18"/>
        </w:rPr>
        <w:t>(variación porcentual real trimestral y anual)</w:t>
      </w:r>
    </w:p>
    <w:tbl>
      <w:tblPr>
        <w:tblW w:w="5003" w:type="pct"/>
        <w:jc w:val="center"/>
        <w:tblLayout w:type="fixed"/>
        <w:tblCellMar>
          <w:left w:w="0" w:type="dxa"/>
          <w:right w:w="0" w:type="dxa"/>
        </w:tblCellMar>
        <w:tblLook w:val="04A0" w:firstRow="1" w:lastRow="0" w:firstColumn="1" w:lastColumn="0" w:noHBand="0" w:noVBand="1"/>
      </w:tblPr>
      <w:tblGrid>
        <w:gridCol w:w="1933"/>
        <w:gridCol w:w="1344"/>
        <w:gridCol w:w="1345"/>
        <w:gridCol w:w="163"/>
        <w:gridCol w:w="1881"/>
        <w:gridCol w:w="1345"/>
        <w:gridCol w:w="1345"/>
      </w:tblGrid>
      <w:tr w:rsidR="00600180" w:rsidRPr="00600180" w14:paraId="6408A37E" w14:textId="77777777" w:rsidTr="007B687B">
        <w:trPr>
          <w:trHeight w:hRule="exact" w:val="510"/>
          <w:jc w:val="center"/>
        </w:trPr>
        <w:tc>
          <w:tcPr>
            <w:tcW w:w="2062" w:type="dxa"/>
            <w:vMerge w:val="restart"/>
            <w:tcBorders>
              <w:top w:val="single" w:sz="4" w:space="0" w:color="F2F2F2"/>
              <w:left w:val="single" w:sz="4" w:space="0" w:color="F2F2F2"/>
              <w:right w:val="single" w:sz="4" w:space="0" w:color="F2F2F2"/>
            </w:tcBorders>
            <w:shd w:val="clear" w:color="auto" w:fill="538135"/>
            <w:noWrap/>
            <w:vAlign w:val="center"/>
          </w:tcPr>
          <w:p w14:paraId="17187D87" w14:textId="77777777" w:rsidR="00767B7C" w:rsidRPr="00600180" w:rsidRDefault="00767B7C" w:rsidP="00767B7C">
            <w:pPr>
              <w:tabs>
                <w:tab w:val="left" w:pos="284"/>
              </w:tabs>
              <w:ind w:left="284"/>
              <w:jc w:val="both"/>
              <w:rPr>
                <w:rFonts w:ascii="Arial" w:hAnsi="Arial"/>
                <w:color w:val="FFFFFF" w:themeColor="background1"/>
                <w:sz w:val="18"/>
                <w:szCs w:val="18"/>
              </w:rPr>
            </w:pPr>
            <w:r w:rsidRPr="00600180">
              <w:rPr>
                <w:rFonts w:ascii="Arial" w:hAnsi="Arial" w:cs="Arial"/>
                <w:color w:val="FFFFFF" w:themeColor="background1"/>
                <w:sz w:val="18"/>
                <w:szCs w:val="18"/>
              </w:rPr>
              <w:t>Entidad federativa</w:t>
            </w:r>
          </w:p>
        </w:tc>
        <w:tc>
          <w:tcPr>
            <w:tcW w:w="2865" w:type="dxa"/>
            <w:gridSpan w:val="2"/>
            <w:tcBorders>
              <w:top w:val="single" w:sz="4" w:space="0" w:color="F2F2F2"/>
              <w:left w:val="single" w:sz="4" w:space="0" w:color="F2F2F2"/>
              <w:bottom w:val="single" w:sz="4" w:space="0" w:color="F2F2F2"/>
              <w:right w:val="single" w:sz="4" w:space="0" w:color="F2F2F2"/>
            </w:tcBorders>
            <w:shd w:val="clear" w:color="auto" w:fill="538135"/>
            <w:vAlign w:val="center"/>
          </w:tcPr>
          <w:p w14:paraId="219465FB" w14:textId="77777777" w:rsidR="00767B7C" w:rsidRPr="00600180" w:rsidRDefault="00767B7C" w:rsidP="00600180">
            <w:pPr>
              <w:tabs>
                <w:tab w:val="left" w:pos="284"/>
              </w:tabs>
              <w:ind w:left="284"/>
              <w:jc w:val="center"/>
              <w:rPr>
                <w:rFonts w:ascii="Arial" w:hAnsi="Arial" w:cs="Arial"/>
                <w:color w:val="FFFFFF" w:themeColor="background1"/>
                <w:sz w:val="18"/>
                <w:szCs w:val="18"/>
              </w:rPr>
            </w:pPr>
            <w:r w:rsidRPr="00600180">
              <w:rPr>
                <w:rFonts w:ascii="Arial" w:hAnsi="Arial" w:cs="Arial"/>
                <w:color w:val="FFFFFF" w:themeColor="background1"/>
                <w:sz w:val="18"/>
                <w:szCs w:val="18"/>
              </w:rPr>
              <w:t>Variación porcentual real respecto a:</w:t>
            </w:r>
          </w:p>
        </w:tc>
        <w:tc>
          <w:tcPr>
            <w:tcW w:w="172" w:type="dxa"/>
            <w:tcBorders>
              <w:left w:val="single" w:sz="4" w:space="0" w:color="F2F2F2"/>
              <w:right w:val="single" w:sz="4" w:space="0" w:color="F2F2F2"/>
            </w:tcBorders>
            <w:shd w:val="clear" w:color="auto" w:fill="538135"/>
            <w:vAlign w:val="center"/>
          </w:tcPr>
          <w:p w14:paraId="55192207" w14:textId="77777777" w:rsidR="00767B7C" w:rsidRPr="00600180" w:rsidRDefault="00767B7C" w:rsidP="00767B7C">
            <w:pPr>
              <w:tabs>
                <w:tab w:val="left" w:pos="284"/>
              </w:tabs>
              <w:ind w:left="284"/>
              <w:jc w:val="both"/>
              <w:rPr>
                <w:rFonts w:ascii="Arial" w:hAnsi="Arial" w:cs="Arial"/>
                <w:color w:val="FFFFFF" w:themeColor="background1"/>
                <w:sz w:val="18"/>
                <w:szCs w:val="18"/>
              </w:rPr>
            </w:pPr>
          </w:p>
        </w:tc>
        <w:tc>
          <w:tcPr>
            <w:tcW w:w="2005" w:type="dxa"/>
            <w:vMerge w:val="restart"/>
            <w:tcBorders>
              <w:top w:val="single" w:sz="4" w:space="0" w:color="F2F2F2"/>
              <w:left w:val="single" w:sz="4" w:space="0" w:color="F2F2F2"/>
              <w:right w:val="single" w:sz="4" w:space="0" w:color="F2F2F2"/>
            </w:tcBorders>
            <w:shd w:val="clear" w:color="auto" w:fill="538135"/>
            <w:noWrap/>
            <w:vAlign w:val="center"/>
          </w:tcPr>
          <w:p w14:paraId="403B4A33" w14:textId="77777777" w:rsidR="00767B7C" w:rsidRPr="00600180" w:rsidRDefault="00767B7C" w:rsidP="00767B7C">
            <w:pPr>
              <w:tabs>
                <w:tab w:val="left" w:pos="284"/>
              </w:tabs>
              <w:ind w:left="284"/>
              <w:jc w:val="both"/>
              <w:rPr>
                <w:rFonts w:ascii="Arial" w:hAnsi="Arial" w:cs="Arial"/>
                <w:color w:val="FFFFFF" w:themeColor="background1"/>
                <w:sz w:val="18"/>
                <w:szCs w:val="18"/>
              </w:rPr>
            </w:pPr>
            <w:r w:rsidRPr="00600180">
              <w:rPr>
                <w:rFonts w:ascii="Arial" w:hAnsi="Arial" w:cs="Arial"/>
                <w:color w:val="FFFFFF" w:themeColor="background1"/>
                <w:sz w:val="18"/>
                <w:szCs w:val="18"/>
              </w:rPr>
              <w:t>Entidad federativa</w:t>
            </w:r>
          </w:p>
        </w:tc>
        <w:tc>
          <w:tcPr>
            <w:tcW w:w="2866" w:type="dxa"/>
            <w:gridSpan w:val="2"/>
            <w:tcBorders>
              <w:top w:val="single" w:sz="4" w:space="0" w:color="F2F2F2"/>
              <w:left w:val="single" w:sz="4" w:space="0" w:color="F2F2F2"/>
              <w:bottom w:val="single" w:sz="4" w:space="0" w:color="F2F2F2"/>
              <w:right w:val="single" w:sz="4" w:space="0" w:color="F2F2F2"/>
            </w:tcBorders>
            <w:shd w:val="clear" w:color="auto" w:fill="538135"/>
            <w:vAlign w:val="center"/>
          </w:tcPr>
          <w:p w14:paraId="3D9A5055" w14:textId="77777777" w:rsidR="00767B7C" w:rsidRPr="00600180" w:rsidRDefault="00767B7C" w:rsidP="00600180">
            <w:pPr>
              <w:tabs>
                <w:tab w:val="left" w:pos="284"/>
              </w:tabs>
              <w:ind w:left="284"/>
              <w:jc w:val="center"/>
              <w:rPr>
                <w:rFonts w:ascii="Arial" w:hAnsi="Arial" w:cs="Arial"/>
                <w:color w:val="FFFFFF" w:themeColor="background1"/>
                <w:sz w:val="18"/>
                <w:szCs w:val="18"/>
              </w:rPr>
            </w:pPr>
            <w:r w:rsidRPr="00600180">
              <w:rPr>
                <w:rFonts w:ascii="Arial" w:hAnsi="Arial" w:cs="Arial"/>
                <w:color w:val="FFFFFF" w:themeColor="background1"/>
                <w:sz w:val="18"/>
                <w:szCs w:val="18"/>
              </w:rPr>
              <w:t>Variación porcentual real respecto a:</w:t>
            </w:r>
          </w:p>
        </w:tc>
      </w:tr>
      <w:tr w:rsidR="00767B7C" w:rsidRPr="00767B7C" w14:paraId="4A8444D6" w14:textId="77777777" w:rsidTr="007B687B">
        <w:trPr>
          <w:trHeight w:hRule="exact" w:val="510"/>
          <w:jc w:val="center"/>
        </w:trPr>
        <w:tc>
          <w:tcPr>
            <w:tcW w:w="2062" w:type="dxa"/>
            <w:vMerge/>
            <w:tcBorders>
              <w:left w:val="single" w:sz="4" w:space="0" w:color="F2F2F2"/>
              <w:bottom w:val="single" w:sz="4" w:space="0" w:color="F2F2F2"/>
              <w:right w:val="single" w:sz="4" w:space="0" w:color="F2F2F2"/>
            </w:tcBorders>
            <w:noWrap/>
            <w:vAlign w:val="center"/>
          </w:tcPr>
          <w:p w14:paraId="3A751814" w14:textId="77777777" w:rsidR="00767B7C" w:rsidRPr="00767B7C" w:rsidRDefault="00767B7C" w:rsidP="00767B7C">
            <w:pPr>
              <w:tabs>
                <w:tab w:val="left" w:pos="284"/>
              </w:tabs>
              <w:ind w:left="284"/>
              <w:jc w:val="both"/>
              <w:rPr>
                <w:rFonts w:ascii="Arial" w:hAnsi="Arial"/>
                <w:sz w:val="18"/>
                <w:szCs w:val="18"/>
              </w:rPr>
            </w:pPr>
          </w:p>
        </w:tc>
        <w:tc>
          <w:tcPr>
            <w:tcW w:w="1432" w:type="dxa"/>
            <w:tcBorders>
              <w:top w:val="single" w:sz="4" w:space="0" w:color="F2F2F2"/>
              <w:left w:val="single" w:sz="4" w:space="0" w:color="F2F2F2"/>
              <w:bottom w:val="single" w:sz="4" w:space="0" w:color="F2F2F2"/>
              <w:right w:val="single" w:sz="4" w:space="0" w:color="F2F2F2"/>
            </w:tcBorders>
            <w:shd w:val="clear" w:color="auto" w:fill="385623"/>
            <w:vAlign w:val="center"/>
          </w:tcPr>
          <w:p w14:paraId="3929820B" w14:textId="77777777" w:rsidR="00767B7C" w:rsidRPr="00600180" w:rsidRDefault="00767B7C" w:rsidP="00767B7C">
            <w:pPr>
              <w:tabs>
                <w:tab w:val="left" w:pos="284"/>
              </w:tabs>
              <w:ind w:left="284"/>
              <w:jc w:val="both"/>
              <w:rPr>
                <w:rFonts w:ascii="Arial" w:hAnsi="Arial" w:cs="Arial"/>
                <w:color w:val="FFFFFF" w:themeColor="background1"/>
                <w:sz w:val="18"/>
                <w:szCs w:val="18"/>
              </w:rPr>
            </w:pPr>
            <w:r w:rsidRPr="00600180">
              <w:rPr>
                <w:rFonts w:ascii="Arial" w:hAnsi="Arial" w:cs="Arial"/>
                <w:color w:val="FFFFFF" w:themeColor="background1"/>
                <w:sz w:val="18"/>
                <w:szCs w:val="18"/>
              </w:rPr>
              <w:t>4.° trimestre de 2024</w:t>
            </w:r>
          </w:p>
        </w:tc>
        <w:tc>
          <w:tcPr>
            <w:tcW w:w="1433" w:type="dxa"/>
            <w:tcBorders>
              <w:top w:val="single" w:sz="4" w:space="0" w:color="F2F2F2"/>
              <w:left w:val="single" w:sz="4" w:space="0" w:color="F2F2F2"/>
              <w:bottom w:val="single" w:sz="4" w:space="0" w:color="F2F2F2"/>
              <w:right w:val="single" w:sz="4" w:space="0" w:color="F2F2F2"/>
            </w:tcBorders>
            <w:shd w:val="clear" w:color="auto" w:fill="385623"/>
            <w:noWrap/>
            <w:vAlign w:val="center"/>
          </w:tcPr>
          <w:p w14:paraId="086EC47B" w14:textId="77777777" w:rsidR="00767B7C" w:rsidRPr="00600180" w:rsidRDefault="00767B7C" w:rsidP="00767B7C">
            <w:pPr>
              <w:tabs>
                <w:tab w:val="left" w:pos="284"/>
              </w:tabs>
              <w:ind w:left="284"/>
              <w:jc w:val="both"/>
              <w:rPr>
                <w:rFonts w:ascii="Arial" w:hAnsi="Arial" w:cs="Arial"/>
                <w:color w:val="FFFFFF" w:themeColor="background1"/>
                <w:sz w:val="18"/>
                <w:szCs w:val="18"/>
              </w:rPr>
            </w:pPr>
            <w:r w:rsidRPr="00600180">
              <w:rPr>
                <w:rFonts w:ascii="Arial" w:hAnsi="Arial" w:cs="Arial"/>
                <w:color w:val="FFFFFF" w:themeColor="background1"/>
                <w:sz w:val="18"/>
                <w:szCs w:val="18"/>
              </w:rPr>
              <w:t>1.er trimestre de 2024</w:t>
            </w:r>
          </w:p>
        </w:tc>
        <w:tc>
          <w:tcPr>
            <w:tcW w:w="172" w:type="dxa"/>
            <w:tcBorders>
              <w:left w:val="single" w:sz="4" w:space="0" w:color="F2F2F2"/>
              <w:right w:val="single" w:sz="4" w:space="0" w:color="F2F2F2"/>
            </w:tcBorders>
            <w:vAlign w:val="center"/>
          </w:tcPr>
          <w:p w14:paraId="1C74460D" w14:textId="77777777" w:rsidR="00767B7C" w:rsidRPr="00767B7C" w:rsidRDefault="00767B7C" w:rsidP="00767B7C">
            <w:pPr>
              <w:tabs>
                <w:tab w:val="left" w:pos="284"/>
              </w:tabs>
              <w:ind w:left="284"/>
              <w:jc w:val="both"/>
              <w:rPr>
                <w:rFonts w:ascii="Arial" w:hAnsi="Arial" w:cs="Arial"/>
                <w:sz w:val="18"/>
                <w:szCs w:val="18"/>
              </w:rPr>
            </w:pPr>
          </w:p>
        </w:tc>
        <w:tc>
          <w:tcPr>
            <w:tcW w:w="2005" w:type="dxa"/>
            <w:vMerge/>
            <w:tcBorders>
              <w:left w:val="single" w:sz="4" w:space="0" w:color="F2F2F2"/>
              <w:bottom w:val="single" w:sz="4" w:space="0" w:color="F2F2F2"/>
              <w:right w:val="single" w:sz="4" w:space="0" w:color="F2F2F2"/>
            </w:tcBorders>
            <w:noWrap/>
            <w:vAlign w:val="center"/>
          </w:tcPr>
          <w:p w14:paraId="33B0305F" w14:textId="77777777" w:rsidR="00767B7C" w:rsidRPr="00767B7C" w:rsidRDefault="00767B7C" w:rsidP="00767B7C">
            <w:pPr>
              <w:tabs>
                <w:tab w:val="left" w:pos="284"/>
              </w:tabs>
              <w:ind w:left="284"/>
              <w:jc w:val="both"/>
              <w:rPr>
                <w:rFonts w:ascii="Arial" w:hAnsi="Arial" w:cs="Arial"/>
                <w:sz w:val="18"/>
                <w:szCs w:val="18"/>
              </w:rPr>
            </w:pPr>
          </w:p>
        </w:tc>
        <w:tc>
          <w:tcPr>
            <w:tcW w:w="1433" w:type="dxa"/>
            <w:tcBorders>
              <w:top w:val="single" w:sz="4" w:space="0" w:color="F2F2F2"/>
              <w:left w:val="single" w:sz="4" w:space="0" w:color="F2F2F2"/>
              <w:bottom w:val="single" w:sz="4" w:space="0" w:color="F2F2F2"/>
              <w:right w:val="single" w:sz="4" w:space="0" w:color="F2F2F2"/>
            </w:tcBorders>
            <w:shd w:val="clear" w:color="auto" w:fill="385623"/>
            <w:vAlign w:val="center"/>
          </w:tcPr>
          <w:p w14:paraId="093C8994" w14:textId="77777777" w:rsidR="00767B7C" w:rsidRPr="00600180" w:rsidRDefault="00767B7C" w:rsidP="00767B7C">
            <w:pPr>
              <w:tabs>
                <w:tab w:val="left" w:pos="284"/>
              </w:tabs>
              <w:ind w:left="284"/>
              <w:jc w:val="both"/>
              <w:rPr>
                <w:rFonts w:ascii="Arial" w:hAnsi="Arial" w:cs="Arial"/>
                <w:color w:val="FFFFFF" w:themeColor="background1"/>
                <w:sz w:val="18"/>
                <w:szCs w:val="18"/>
              </w:rPr>
            </w:pPr>
            <w:r w:rsidRPr="00600180">
              <w:rPr>
                <w:rFonts w:ascii="Arial" w:hAnsi="Arial" w:cs="Arial"/>
                <w:color w:val="FFFFFF" w:themeColor="background1"/>
                <w:sz w:val="18"/>
                <w:szCs w:val="18"/>
              </w:rPr>
              <w:t>4.° trimestre de 2024</w:t>
            </w:r>
          </w:p>
        </w:tc>
        <w:tc>
          <w:tcPr>
            <w:tcW w:w="1433" w:type="dxa"/>
            <w:tcBorders>
              <w:top w:val="single" w:sz="4" w:space="0" w:color="F2F2F2"/>
              <w:left w:val="single" w:sz="4" w:space="0" w:color="F2F2F2"/>
              <w:bottom w:val="single" w:sz="4" w:space="0" w:color="F2F2F2"/>
              <w:right w:val="single" w:sz="4" w:space="0" w:color="F2F2F2"/>
            </w:tcBorders>
            <w:shd w:val="clear" w:color="auto" w:fill="385623"/>
            <w:noWrap/>
            <w:vAlign w:val="center"/>
          </w:tcPr>
          <w:p w14:paraId="727696CE" w14:textId="77777777" w:rsidR="00767B7C" w:rsidRPr="00600180" w:rsidRDefault="00767B7C" w:rsidP="00767B7C">
            <w:pPr>
              <w:tabs>
                <w:tab w:val="left" w:pos="284"/>
              </w:tabs>
              <w:ind w:left="284"/>
              <w:jc w:val="both"/>
              <w:rPr>
                <w:rFonts w:ascii="Arial" w:hAnsi="Arial" w:cs="Arial"/>
                <w:color w:val="FFFFFF" w:themeColor="background1"/>
                <w:sz w:val="18"/>
                <w:szCs w:val="18"/>
              </w:rPr>
            </w:pPr>
            <w:r w:rsidRPr="00600180">
              <w:rPr>
                <w:rFonts w:ascii="Arial" w:hAnsi="Arial" w:cs="Arial"/>
                <w:color w:val="FFFFFF" w:themeColor="background1"/>
                <w:sz w:val="18"/>
                <w:szCs w:val="18"/>
              </w:rPr>
              <w:t>1.er trimestre de 2024</w:t>
            </w:r>
          </w:p>
        </w:tc>
      </w:tr>
      <w:tr w:rsidR="00767B7C" w:rsidRPr="00767B7C" w14:paraId="395710C7" w14:textId="77777777" w:rsidTr="007B687B">
        <w:trPr>
          <w:trHeight w:val="113"/>
          <w:jc w:val="center"/>
        </w:trPr>
        <w:tc>
          <w:tcPr>
            <w:tcW w:w="2062" w:type="dxa"/>
            <w:tcBorders>
              <w:top w:val="single" w:sz="4" w:space="0" w:color="F2F2F2"/>
              <w:left w:val="single" w:sz="4" w:space="0" w:color="F2F2F2"/>
              <w:bottom w:val="single" w:sz="4" w:space="0" w:color="F2F2F2"/>
              <w:right w:val="single" w:sz="4" w:space="0" w:color="F2F2F2"/>
            </w:tcBorders>
            <w:noWrap/>
            <w:vAlign w:val="center"/>
            <w:hideMark/>
          </w:tcPr>
          <w:p w14:paraId="4F51A414"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Aguascalientes</w:t>
            </w:r>
          </w:p>
        </w:tc>
        <w:tc>
          <w:tcPr>
            <w:tcW w:w="1432" w:type="dxa"/>
            <w:tcBorders>
              <w:top w:val="single" w:sz="4" w:space="0" w:color="F2F2F2"/>
              <w:left w:val="single" w:sz="4" w:space="0" w:color="F2F2F2"/>
              <w:bottom w:val="single" w:sz="4" w:space="0" w:color="F2F2F2"/>
              <w:right w:val="single" w:sz="4" w:space="0" w:color="F2F2F2"/>
            </w:tcBorders>
            <w:vAlign w:val="center"/>
            <w:hideMark/>
          </w:tcPr>
          <w:p w14:paraId="0A10610B"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0.6</w:t>
            </w:r>
          </w:p>
        </w:tc>
        <w:tc>
          <w:tcPr>
            <w:tcW w:w="1433" w:type="dxa"/>
            <w:tcBorders>
              <w:top w:val="single" w:sz="4" w:space="0" w:color="F2F2F2"/>
              <w:left w:val="single" w:sz="4" w:space="0" w:color="F2F2F2"/>
              <w:bottom w:val="single" w:sz="4" w:space="0" w:color="F2F2F2"/>
              <w:right w:val="single" w:sz="4" w:space="0" w:color="F2F2F2"/>
            </w:tcBorders>
            <w:noWrap/>
            <w:vAlign w:val="center"/>
            <w:hideMark/>
          </w:tcPr>
          <w:p w14:paraId="3167AB4E"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0.9</w:t>
            </w:r>
          </w:p>
        </w:tc>
        <w:tc>
          <w:tcPr>
            <w:tcW w:w="172" w:type="dxa"/>
            <w:tcBorders>
              <w:left w:val="single" w:sz="4" w:space="0" w:color="F2F2F2"/>
              <w:right w:val="single" w:sz="4" w:space="0" w:color="F2F2F2"/>
            </w:tcBorders>
            <w:vAlign w:val="center"/>
          </w:tcPr>
          <w:p w14:paraId="71238DAC" w14:textId="77777777" w:rsidR="00767B7C" w:rsidRPr="00767B7C" w:rsidRDefault="00767B7C" w:rsidP="00767B7C">
            <w:pPr>
              <w:tabs>
                <w:tab w:val="left" w:pos="284"/>
              </w:tabs>
              <w:ind w:left="284"/>
              <w:jc w:val="both"/>
              <w:rPr>
                <w:rFonts w:ascii="Arial" w:hAnsi="Arial" w:cs="Arial"/>
                <w:sz w:val="18"/>
                <w:szCs w:val="18"/>
              </w:rPr>
            </w:pPr>
          </w:p>
        </w:tc>
        <w:tc>
          <w:tcPr>
            <w:tcW w:w="2005" w:type="dxa"/>
            <w:tcBorders>
              <w:top w:val="single" w:sz="4" w:space="0" w:color="F2F2F2"/>
              <w:left w:val="single" w:sz="4" w:space="0" w:color="F2F2F2"/>
              <w:bottom w:val="single" w:sz="4" w:space="0" w:color="F2F2F2"/>
              <w:right w:val="single" w:sz="4" w:space="0" w:color="F2F2F2"/>
            </w:tcBorders>
            <w:noWrap/>
            <w:vAlign w:val="center"/>
          </w:tcPr>
          <w:p w14:paraId="7BFF047B"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Morelos</w:t>
            </w:r>
          </w:p>
        </w:tc>
        <w:tc>
          <w:tcPr>
            <w:tcW w:w="1433" w:type="dxa"/>
            <w:tcBorders>
              <w:top w:val="single" w:sz="4" w:space="0" w:color="F2F2F2"/>
              <w:left w:val="single" w:sz="4" w:space="0" w:color="F2F2F2"/>
              <w:bottom w:val="single" w:sz="4" w:space="0" w:color="F2F2F2"/>
              <w:right w:val="single" w:sz="4" w:space="0" w:color="F2F2F2"/>
            </w:tcBorders>
            <w:vAlign w:val="center"/>
          </w:tcPr>
          <w:p w14:paraId="015BCC69"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1.9</w:t>
            </w:r>
          </w:p>
        </w:tc>
        <w:tc>
          <w:tcPr>
            <w:tcW w:w="1433" w:type="dxa"/>
            <w:tcBorders>
              <w:top w:val="single" w:sz="4" w:space="0" w:color="F2F2F2"/>
              <w:left w:val="single" w:sz="4" w:space="0" w:color="F2F2F2"/>
              <w:bottom w:val="single" w:sz="4" w:space="0" w:color="F2F2F2"/>
              <w:right w:val="single" w:sz="4" w:space="0" w:color="F2F2F2"/>
            </w:tcBorders>
            <w:noWrap/>
            <w:vAlign w:val="center"/>
          </w:tcPr>
          <w:p w14:paraId="39BD9703"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2.1</w:t>
            </w:r>
          </w:p>
        </w:tc>
      </w:tr>
      <w:tr w:rsidR="00767B7C" w:rsidRPr="00767B7C" w14:paraId="2F86AAD0" w14:textId="77777777" w:rsidTr="007B687B">
        <w:trPr>
          <w:trHeight w:val="170"/>
          <w:jc w:val="center"/>
        </w:trPr>
        <w:tc>
          <w:tcPr>
            <w:tcW w:w="2062" w:type="dxa"/>
            <w:tcBorders>
              <w:top w:val="single" w:sz="4" w:space="0" w:color="F2F2F2"/>
              <w:left w:val="single" w:sz="4" w:space="0" w:color="F2F2F2"/>
              <w:bottom w:val="single" w:sz="4" w:space="0" w:color="F2F2F2"/>
              <w:right w:val="single" w:sz="4" w:space="0" w:color="F2F2F2"/>
            </w:tcBorders>
            <w:shd w:val="clear" w:color="auto" w:fill="F2F2F2"/>
            <w:noWrap/>
            <w:vAlign w:val="center"/>
            <w:hideMark/>
          </w:tcPr>
          <w:p w14:paraId="5C2B7A8F"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Baja California</w:t>
            </w:r>
          </w:p>
        </w:tc>
        <w:tc>
          <w:tcPr>
            <w:tcW w:w="1432" w:type="dxa"/>
            <w:tcBorders>
              <w:top w:val="single" w:sz="4" w:space="0" w:color="F2F2F2"/>
              <w:left w:val="single" w:sz="4" w:space="0" w:color="F2F2F2"/>
              <w:bottom w:val="single" w:sz="4" w:space="0" w:color="F2F2F2"/>
              <w:right w:val="single" w:sz="4" w:space="0" w:color="F2F2F2"/>
            </w:tcBorders>
            <w:shd w:val="clear" w:color="auto" w:fill="F2F2F2"/>
            <w:vAlign w:val="center"/>
            <w:hideMark/>
          </w:tcPr>
          <w:p w14:paraId="0B0998BE"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0.8</w:t>
            </w:r>
          </w:p>
        </w:tc>
        <w:tc>
          <w:tcPr>
            <w:tcW w:w="1433" w:type="dxa"/>
            <w:tcBorders>
              <w:top w:val="single" w:sz="4" w:space="0" w:color="F2F2F2"/>
              <w:left w:val="single" w:sz="4" w:space="0" w:color="F2F2F2"/>
              <w:bottom w:val="single" w:sz="4" w:space="0" w:color="F2F2F2"/>
              <w:right w:val="single" w:sz="4" w:space="0" w:color="F2F2F2"/>
            </w:tcBorders>
            <w:shd w:val="clear" w:color="auto" w:fill="F2F2F2"/>
            <w:noWrap/>
            <w:vAlign w:val="center"/>
            <w:hideMark/>
          </w:tcPr>
          <w:p w14:paraId="0A356DDE"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1.2</w:t>
            </w:r>
          </w:p>
        </w:tc>
        <w:tc>
          <w:tcPr>
            <w:tcW w:w="172" w:type="dxa"/>
            <w:tcBorders>
              <w:left w:val="single" w:sz="4" w:space="0" w:color="F2F2F2"/>
              <w:right w:val="single" w:sz="4" w:space="0" w:color="F2F2F2"/>
            </w:tcBorders>
            <w:vAlign w:val="center"/>
          </w:tcPr>
          <w:p w14:paraId="3EC4A402" w14:textId="77777777" w:rsidR="00767B7C" w:rsidRPr="00767B7C" w:rsidRDefault="00767B7C" w:rsidP="00767B7C">
            <w:pPr>
              <w:tabs>
                <w:tab w:val="left" w:pos="284"/>
              </w:tabs>
              <w:ind w:left="284"/>
              <w:jc w:val="both"/>
              <w:rPr>
                <w:rFonts w:ascii="Arial" w:hAnsi="Arial" w:cs="Arial"/>
                <w:sz w:val="18"/>
                <w:szCs w:val="18"/>
              </w:rPr>
            </w:pPr>
          </w:p>
        </w:tc>
        <w:tc>
          <w:tcPr>
            <w:tcW w:w="2005"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18D4A9B6"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Nayarit</w:t>
            </w:r>
          </w:p>
        </w:tc>
        <w:tc>
          <w:tcPr>
            <w:tcW w:w="1433" w:type="dxa"/>
            <w:tcBorders>
              <w:top w:val="single" w:sz="4" w:space="0" w:color="F2F2F2"/>
              <w:left w:val="single" w:sz="4" w:space="0" w:color="F2F2F2"/>
              <w:bottom w:val="single" w:sz="4" w:space="0" w:color="F2F2F2"/>
              <w:right w:val="single" w:sz="4" w:space="0" w:color="F2F2F2"/>
            </w:tcBorders>
            <w:shd w:val="clear" w:color="auto" w:fill="F2F2F2"/>
            <w:vAlign w:val="center"/>
          </w:tcPr>
          <w:p w14:paraId="317F5B72"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3.3</w:t>
            </w:r>
          </w:p>
        </w:tc>
        <w:tc>
          <w:tcPr>
            <w:tcW w:w="1433"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7DE40452"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4.7</w:t>
            </w:r>
          </w:p>
        </w:tc>
      </w:tr>
      <w:tr w:rsidR="00767B7C" w:rsidRPr="00767B7C" w14:paraId="3F8E71D9" w14:textId="77777777" w:rsidTr="007B687B">
        <w:trPr>
          <w:trHeight w:val="170"/>
          <w:jc w:val="center"/>
        </w:trPr>
        <w:tc>
          <w:tcPr>
            <w:tcW w:w="2062" w:type="dxa"/>
            <w:tcBorders>
              <w:top w:val="single" w:sz="4" w:space="0" w:color="F2F2F2"/>
              <w:left w:val="single" w:sz="4" w:space="0" w:color="F2F2F2"/>
              <w:bottom w:val="single" w:sz="4" w:space="0" w:color="F2F2F2"/>
              <w:right w:val="single" w:sz="4" w:space="0" w:color="F2F2F2"/>
            </w:tcBorders>
            <w:noWrap/>
            <w:vAlign w:val="center"/>
            <w:hideMark/>
          </w:tcPr>
          <w:p w14:paraId="5C53AC20"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Baja California Sur</w:t>
            </w:r>
          </w:p>
        </w:tc>
        <w:tc>
          <w:tcPr>
            <w:tcW w:w="1432" w:type="dxa"/>
            <w:tcBorders>
              <w:top w:val="single" w:sz="4" w:space="0" w:color="F2F2F2"/>
              <w:left w:val="single" w:sz="4" w:space="0" w:color="F2F2F2"/>
              <w:bottom w:val="single" w:sz="4" w:space="0" w:color="F2F2F2"/>
              <w:right w:val="single" w:sz="4" w:space="0" w:color="F2F2F2"/>
            </w:tcBorders>
            <w:vAlign w:val="center"/>
            <w:hideMark/>
          </w:tcPr>
          <w:p w14:paraId="10FF3B2B"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1.8</w:t>
            </w:r>
          </w:p>
        </w:tc>
        <w:tc>
          <w:tcPr>
            <w:tcW w:w="1433" w:type="dxa"/>
            <w:tcBorders>
              <w:top w:val="single" w:sz="4" w:space="0" w:color="F2F2F2"/>
              <w:left w:val="single" w:sz="4" w:space="0" w:color="F2F2F2"/>
              <w:bottom w:val="single" w:sz="4" w:space="0" w:color="F2F2F2"/>
              <w:right w:val="single" w:sz="4" w:space="0" w:color="F2F2F2"/>
            </w:tcBorders>
            <w:noWrap/>
            <w:vAlign w:val="center"/>
            <w:hideMark/>
          </w:tcPr>
          <w:p w14:paraId="2A8D978C"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3.9</w:t>
            </w:r>
          </w:p>
        </w:tc>
        <w:tc>
          <w:tcPr>
            <w:tcW w:w="172" w:type="dxa"/>
            <w:tcBorders>
              <w:left w:val="single" w:sz="4" w:space="0" w:color="F2F2F2"/>
              <w:right w:val="single" w:sz="4" w:space="0" w:color="F2F2F2"/>
            </w:tcBorders>
            <w:vAlign w:val="center"/>
          </w:tcPr>
          <w:p w14:paraId="14FB8ECF" w14:textId="77777777" w:rsidR="00767B7C" w:rsidRPr="00767B7C" w:rsidRDefault="00767B7C" w:rsidP="00767B7C">
            <w:pPr>
              <w:tabs>
                <w:tab w:val="left" w:pos="284"/>
              </w:tabs>
              <w:ind w:left="284"/>
              <w:jc w:val="both"/>
              <w:rPr>
                <w:rFonts w:ascii="Arial" w:hAnsi="Arial" w:cs="Arial"/>
                <w:sz w:val="18"/>
                <w:szCs w:val="18"/>
              </w:rPr>
            </w:pPr>
          </w:p>
        </w:tc>
        <w:tc>
          <w:tcPr>
            <w:tcW w:w="2005" w:type="dxa"/>
            <w:tcBorders>
              <w:top w:val="single" w:sz="4" w:space="0" w:color="F2F2F2"/>
              <w:left w:val="single" w:sz="4" w:space="0" w:color="F2F2F2"/>
              <w:bottom w:val="single" w:sz="4" w:space="0" w:color="F2F2F2"/>
              <w:right w:val="single" w:sz="4" w:space="0" w:color="F2F2F2"/>
            </w:tcBorders>
            <w:noWrap/>
            <w:vAlign w:val="center"/>
          </w:tcPr>
          <w:p w14:paraId="11A2507A"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Nuevo León</w:t>
            </w:r>
          </w:p>
        </w:tc>
        <w:tc>
          <w:tcPr>
            <w:tcW w:w="1433" w:type="dxa"/>
            <w:tcBorders>
              <w:top w:val="single" w:sz="4" w:space="0" w:color="F2F2F2"/>
              <w:left w:val="single" w:sz="4" w:space="0" w:color="F2F2F2"/>
              <w:bottom w:val="single" w:sz="4" w:space="0" w:color="F2F2F2"/>
              <w:right w:val="single" w:sz="4" w:space="0" w:color="F2F2F2"/>
            </w:tcBorders>
            <w:vAlign w:val="center"/>
          </w:tcPr>
          <w:p w14:paraId="1AF6116B"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-1.1</w:t>
            </w:r>
          </w:p>
        </w:tc>
        <w:tc>
          <w:tcPr>
            <w:tcW w:w="1433" w:type="dxa"/>
            <w:tcBorders>
              <w:top w:val="single" w:sz="4" w:space="0" w:color="F2F2F2"/>
              <w:left w:val="single" w:sz="4" w:space="0" w:color="F2F2F2"/>
              <w:bottom w:val="single" w:sz="4" w:space="0" w:color="F2F2F2"/>
              <w:right w:val="single" w:sz="4" w:space="0" w:color="F2F2F2"/>
            </w:tcBorders>
            <w:noWrap/>
            <w:vAlign w:val="center"/>
          </w:tcPr>
          <w:p w14:paraId="6D06F914"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1.3</w:t>
            </w:r>
          </w:p>
        </w:tc>
      </w:tr>
      <w:tr w:rsidR="00767B7C" w:rsidRPr="00767B7C" w14:paraId="38324303" w14:textId="77777777" w:rsidTr="007B687B">
        <w:trPr>
          <w:trHeight w:val="170"/>
          <w:jc w:val="center"/>
        </w:trPr>
        <w:tc>
          <w:tcPr>
            <w:tcW w:w="2062" w:type="dxa"/>
            <w:tcBorders>
              <w:top w:val="single" w:sz="4" w:space="0" w:color="F2F2F2"/>
              <w:left w:val="single" w:sz="4" w:space="0" w:color="F2F2F2"/>
              <w:bottom w:val="single" w:sz="4" w:space="0" w:color="F2F2F2"/>
              <w:right w:val="single" w:sz="4" w:space="0" w:color="F2F2F2"/>
            </w:tcBorders>
            <w:shd w:val="clear" w:color="auto" w:fill="F2F2F2"/>
            <w:noWrap/>
            <w:vAlign w:val="center"/>
            <w:hideMark/>
          </w:tcPr>
          <w:p w14:paraId="56B255CA"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Campeche</w:t>
            </w:r>
          </w:p>
        </w:tc>
        <w:tc>
          <w:tcPr>
            <w:tcW w:w="1432" w:type="dxa"/>
            <w:tcBorders>
              <w:top w:val="single" w:sz="4" w:space="0" w:color="F2F2F2"/>
              <w:left w:val="single" w:sz="4" w:space="0" w:color="F2F2F2"/>
              <w:bottom w:val="single" w:sz="4" w:space="0" w:color="F2F2F2"/>
              <w:right w:val="single" w:sz="4" w:space="0" w:color="F2F2F2"/>
            </w:tcBorders>
            <w:shd w:val="clear" w:color="auto" w:fill="F2F2F2"/>
            <w:vAlign w:val="center"/>
            <w:hideMark/>
          </w:tcPr>
          <w:p w14:paraId="12921CEC"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-6.4</w:t>
            </w:r>
          </w:p>
        </w:tc>
        <w:tc>
          <w:tcPr>
            <w:tcW w:w="1433" w:type="dxa"/>
            <w:tcBorders>
              <w:top w:val="single" w:sz="4" w:space="0" w:color="F2F2F2"/>
              <w:left w:val="single" w:sz="4" w:space="0" w:color="F2F2F2"/>
              <w:bottom w:val="single" w:sz="4" w:space="0" w:color="F2F2F2"/>
              <w:right w:val="single" w:sz="4" w:space="0" w:color="F2F2F2"/>
            </w:tcBorders>
            <w:shd w:val="clear" w:color="auto" w:fill="F2F2F2"/>
            <w:noWrap/>
            <w:vAlign w:val="center"/>
            <w:hideMark/>
          </w:tcPr>
          <w:p w14:paraId="0A6C4ADA"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-16.8</w:t>
            </w:r>
          </w:p>
        </w:tc>
        <w:tc>
          <w:tcPr>
            <w:tcW w:w="172" w:type="dxa"/>
            <w:tcBorders>
              <w:left w:val="single" w:sz="4" w:space="0" w:color="F2F2F2"/>
              <w:right w:val="single" w:sz="4" w:space="0" w:color="F2F2F2"/>
            </w:tcBorders>
            <w:vAlign w:val="center"/>
          </w:tcPr>
          <w:p w14:paraId="77803AC0" w14:textId="77777777" w:rsidR="00767B7C" w:rsidRPr="00767B7C" w:rsidRDefault="00767B7C" w:rsidP="00767B7C">
            <w:pPr>
              <w:tabs>
                <w:tab w:val="left" w:pos="284"/>
              </w:tabs>
              <w:ind w:left="284"/>
              <w:jc w:val="both"/>
              <w:rPr>
                <w:rFonts w:ascii="Arial" w:hAnsi="Arial" w:cs="Arial"/>
                <w:sz w:val="18"/>
                <w:szCs w:val="18"/>
              </w:rPr>
            </w:pPr>
          </w:p>
        </w:tc>
        <w:tc>
          <w:tcPr>
            <w:tcW w:w="2005"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0D5AC260"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Oaxaca</w:t>
            </w:r>
          </w:p>
        </w:tc>
        <w:tc>
          <w:tcPr>
            <w:tcW w:w="1433" w:type="dxa"/>
            <w:tcBorders>
              <w:top w:val="single" w:sz="4" w:space="0" w:color="F2F2F2"/>
              <w:left w:val="single" w:sz="4" w:space="0" w:color="F2F2F2"/>
              <w:bottom w:val="single" w:sz="4" w:space="0" w:color="F2F2F2"/>
              <w:right w:val="single" w:sz="4" w:space="0" w:color="F2F2F2"/>
            </w:tcBorders>
            <w:shd w:val="clear" w:color="auto" w:fill="F2F2F2"/>
            <w:vAlign w:val="center"/>
          </w:tcPr>
          <w:p w14:paraId="6DDFA2A1"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1.6</w:t>
            </w:r>
          </w:p>
        </w:tc>
        <w:tc>
          <w:tcPr>
            <w:tcW w:w="1433"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376EFED0"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5.7</w:t>
            </w:r>
          </w:p>
        </w:tc>
      </w:tr>
      <w:tr w:rsidR="00767B7C" w:rsidRPr="00767B7C" w14:paraId="04E19192" w14:textId="77777777" w:rsidTr="007B687B">
        <w:trPr>
          <w:trHeight w:val="170"/>
          <w:jc w:val="center"/>
        </w:trPr>
        <w:tc>
          <w:tcPr>
            <w:tcW w:w="2062" w:type="dxa"/>
            <w:tcBorders>
              <w:top w:val="single" w:sz="4" w:space="0" w:color="F2F2F2"/>
              <w:left w:val="single" w:sz="4" w:space="0" w:color="F2F2F2"/>
              <w:bottom w:val="single" w:sz="4" w:space="0" w:color="F2F2F2"/>
              <w:right w:val="single" w:sz="4" w:space="0" w:color="F2F2F2"/>
            </w:tcBorders>
            <w:noWrap/>
            <w:vAlign w:val="center"/>
            <w:hideMark/>
          </w:tcPr>
          <w:p w14:paraId="7B418E92"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Coahuila de Zaragoza</w:t>
            </w:r>
          </w:p>
        </w:tc>
        <w:tc>
          <w:tcPr>
            <w:tcW w:w="1432" w:type="dxa"/>
            <w:tcBorders>
              <w:top w:val="single" w:sz="4" w:space="0" w:color="F2F2F2"/>
              <w:left w:val="single" w:sz="4" w:space="0" w:color="F2F2F2"/>
              <w:bottom w:val="single" w:sz="4" w:space="0" w:color="F2F2F2"/>
              <w:right w:val="single" w:sz="4" w:space="0" w:color="F2F2F2"/>
            </w:tcBorders>
            <w:vAlign w:val="center"/>
            <w:hideMark/>
          </w:tcPr>
          <w:p w14:paraId="1D0777FE"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-1.4</w:t>
            </w:r>
          </w:p>
        </w:tc>
        <w:tc>
          <w:tcPr>
            <w:tcW w:w="1433" w:type="dxa"/>
            <w:tcBorders>
              <w:top w:val="single" w:sz="4" w:space="0" w:color="F2F2F2"/>
              <w:left w:val="single" w:sz="4" w:space="0" w:color="F2F2F2"/>
              <w:bottom w:val="single" w:sz="4" w:space="0" w:color="F2F2F2"/>
              <w:right w:val="single" w:sz="4" w:space="0" w:color="F2F2F2"/>
            </w:tcBorders>
            <w:noWrap/>
            <w:vAlign w:val="center"/>
            <w:hideMark/>
          </w:tcPr>
          <w:p w14:paraId="429315FA"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0.7</w:t>
            </w:r>
          </w:p>
        </w:tc>
        <w:tc>
          <w:tcPr>
            <w:tcW w:w="172" w:type="dxa"/>
            <w:tcBorders>
              <w:left w:val="single" w:sz="4" w:space="0" w:color="F2F2F2"/>
              <w:right w:val="single" w:sz="4" w:space="0" w:color="F2F2F2"/>
            </w:tcBorders>
            <w:vAlign w:val="center"/>
          </w:tcPr>
          <w:p w14:paraId="1FBEF555" w14:textId="77777777" w:rsidR="00767B7C" w:rsidRPr="00767B7C" w:rsidRDefault="00767B7C" w:rsidP="00767B7C">
            <w:pPr>
              <w:tabs>
                <w:tab w:val="left" w:pos="284"/>
              </w:tabs>
              <w:ind w:left="284"/>
              <w:jc w:val="both"/>
              <w:rPr>
                <w:rFonts w:ascii="Arial" w:hAnsi="Arial" w:cs="Arial"/>
                <w:sz w:val="18"/>
                <w:szCs w:val="18"/>
              </w:rPr>
            </w:pPr>
          </w:p>
        </w:tc>
        <w:tc>
          <w:tcPr>
            <w:tcW w:w="2005" w:type="dxa"/>
            <w:tcBorders>
              <w:top w:val="single" w:sz="4" w:space="0" w:color="F2F2F2"/>
              <w:left w:val="single" w:sz="4" w:space="0" w:color="F2F2F2"/>
              <w:bottom w:val="single" w:sz="4" w:space="0" w:color="F2F2F2"/>
              <w:right w:val="single" w:sz="4" w:space="0" w:color="F2F2F2"/>
            </w:tcBorders>
            <w:noWrap/>
            <w:vAlign w:val="center"/>
          </w:tcPr>
          <w:p w14:paraId="7BD68BBA"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Puebla</w:t>
            </w:r>
          </w:p>
        </w:tc>
        <w:tc>
          <w:tcPr>
            <w:tcW w:w="1433" w:type="dxa"/>
            <w:tcBorders>
              <w:top w:val="single" w:sz="4" w:space="0" w:color="F2F2F2"/>
              <w:left w:val="single" w:sz="4" w:space="0" w:color="F2F2F2"/>
              <w:bottom w:val="single" w:sz="4" w:space="0" w:color="F2F2F2"/>
              <w:right w:val="single" w:sz="4" w:space="0" w:color="F2F2F2"/>
            </w:tcBorders>
            <w:vAlign w:val="center"/>
          </w:tcPr>
          <w:p w14:paraId="70BB5435"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-0.7</w:t>
            </w:r>
          </w:p>
        </w:tc>
        <w:tc>
          <w:tcPr>
            <w:tcW w:w="1433" w:type="dxa"/>
            <w:tcBorders>
              <w:top w:val="single" w:sz="4" w:space="0" w:color="F2F2F2"/>
              <w:left w:val="single" w:sz="4" w:space="0" w:color="F2F2F2"/>
              <w:bottom w:val="single" w:sz="4" w:space="0" w:color="F2F2F2"/>
              <w:right w:val="single" w:sz="4" w:space="0" w:color="F2F2F2"/>
            </w:tcBorders>
            <w:noWrap/>
            <w:vAlign w:val="center"/>
          </w:tcPr>
          <w:p w14:paraId="5D9A55FC"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-0.7</w:t>
            </w:r>
          </w:p>
        </w:tc>
      </w:tr>
      <w:tr w:rsidR="00767B7C" w:rsidRPr="00767B7C" w14:paraId="0CD274E1" w14:textId="77777777" w:rsidTr="007B687B">
        <w:trPr>
          <w:trHeight w:val="170"/>
          <w:jc w:val="center"/>
        </w:trPr>
        <w:tc>
          <w:tcPr>
            <w:tcW w:w="2062" w:type="dxa"/>
            <w:tcBorders>
              <w:top w:val="single" w:sz="4" w:space="0" w:color="F2F2F2"/>
              <w:left w:val="single" w:sz="4" w:space="0" w:color="F2F2F2"/>
              <w:bottom w:val="single" w:sz="4" w:space="0" w:color="F2F2F2"/>
              <w:right w:val="single" w:sz="4" w:space="0" w:color="F2F2F2"/>
            </w:tcBorders>
            <w:shd w:val="clear" w:color="auto" w:fill="F2F2F2"/>
            <w:noWrap/>
            <w:vAlign w:val="center"/>
            <w:hideMark/>
          </w:tcPr>
          <w:p w14:paraId="5C9A4C87"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Colima</w:t>
            </w:r>
          </w:p>
        </w:tc>
        <w:tc>
          <w:tcPr>
            <w:tcW w:w="1432" w:type="dxa"/>
            <w:tcBorders>
              <w:top w:val="single" w:sz="4" w:space="0" w:color="F2F2F2"/>
              <w:left w:val="single" w:sz="4" w:space="0" w:color="F2F2F2"/>
              <w:bottom w:val="single" w:sz="4" w:space="0" w:color="F2F2F2"/>
              <w:right w:val="single" w:sz="4" w:space="0" w:color="F2F2F2"/>
            </w:tcBorders>
            <w:shd w:val="clear" w:color="auto" w:fill="F2F2F2"/>
            <w:vAlign w:val="center"/>
            <w:hideMark/>
          </w:tcPr>
          <w:p w14:paraId="2676C39E"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1.6</w:t>
            </w:r>
          </w:p>
        </w:tc>
        <w:tc>
          <w:tcPr>
            <w:tcW w:w="1433" w:type="dxa"/>
            <w:tcBorders>
              <w:top w:val="single" w:sz="4" w:space="0" w:color="F2F2F2"/>
              <w:left w:val="single" w:sz="4" w:space="0" w:color="F2F2F2"/>
              <w:bottom w:val="single" w:sz="4" w:space="0" w:color="F2F2F2"/>
              <w:right w:val="single" w:sz="4" w:space="0" w:color="F2F2F2"/>
            </w:tcBorders>
            <w:shd w:val="clear" w:color="auto" w:fill="F2F2F2"/>
            <w:noWrap/>
            <w:vAlign w:val="center"/>
            <w:hideMark/>
          </w:tcPr>
          <w:p w14:paraId="353B3F71"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2.6</w:t>
            </w:r>
          </w:p>
        </w:tc>
        <w:tc>
          <w:tcPr>
            <w:tcW w:w="172" w:type="dxa"/>
            <w:tcBorders>
              <w:left w:val="single" w:sz="4" w:space="0" w:color="F2F2F2"/>
              <w:right w:val="single" w:sz="4" w:space="0" w:color="F2F2F2"/>
            </w:tcBorders>
            <w:vAlign w:val="center"/>
          </w:tcPr>
          <w:p w14:paraId="3CFDB0FC" w14:textId="77777777" w:rsidR="00767B7C" w:rsidRPr="00767B7C" w:rsidRDefault="00767B7C" w:rsidP="00767B7C">
            <w:pPr>
              <w:tabs>
                <w:tab w:val="left" w:pos="284"/>
              </w:tabs>
              <w:ind w:left="284"/>
              <w:jc w:val="both"/>
              <w:rPr>
                <w:rFonts w:ascii="Arial" w:hAnsi="Arial" w:cs="Arial"/>
                <w:sz w:val="18"/>
                <w:szCs w:val="18"/>
              </w:rPr>
            </w:pPr>
          </w:p>
        </w:tc>
        <w:tc>
          <w:tcPr>
            <w:tcW w:w="2005"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6B7B92B4"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Querétaro</w:t>
            </w:r>
          </w:p>
        </w:tc>
        <w:tc>
          <w:tcPr>
            <w:tcW w:w="1433" w:type="dxa"/>
            <w:tcBorders>
              <w:top w:val="single" w:sz="4" w:space="0" w:color="F2F2F2"/>
              <w:left w:val="single" w:sz="4" w:space="0" w:color="F2F2F2"/>
              <w:bottom w:val="single" w:sz="4" w:space="0" w:color="F2F2F2"/>
              <w:right w:val="single" w:sz="4" w:space="0" w:color="F2F2F2"/>
            </w:tcBorders>
            <w:shd w:val="clear" w:color="auto" w:fill="F2F2F2"/>
            <w:vAlign w:val="center"/>
          </w:tcPr>
          <w:p w14:paraId="7EB7F773"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0.7</w:t>
            </w:r>
          </w:p>
        </w:tc>
        <w:tc>
          <w:tcPr>
            <w:tcW w:w="1433"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729D04EA"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0.6</w:t>
            </w:r>
          </w:p>
        </w:tc>
      </w:tr>
      <w:tr w:rsidR="00767B7C" w:rsidRPr="00767B7C" w14:paraId="510F62DF" w14:textId="77777777" w:rsidTr="007B687B">
        <w:trPr>
          <w:trHeight w:val="170"/>
          <w:jc w:val="center"/>
        </w:trPr>
        <w:tc>
          <w:tcPr>
            <w:tcW w:w="2062" w:type="dxa"/>
            <w:tcBorders>
              <w:top w:val="single" w:sz="4" w:space="0" w:color="F2F2F2"/>
              <w:left w:val="single" w:sz="4" w:space="0" w:color="F2F2F2"/>
              <w:bottom w:val="single" w:sz="4" w:space="0" w:color="F2F2F2"/>
              <w:right w:val="single" w:sz="4" w:space="0" w:color="F2F2F2"/>
            </w:tcBorders>
            <w:noWrap/>
            <w:vAlign w:val="center"/>
            <w:hideMark/>
          </w:tcPr>
          <w:p w14:paraId="00DA9690"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Chiapas</w:t>
            </w:r>
          </w:p>
        </w:tc>
        <w:tc>
          <w:tcPr>
            <w:tcW w:w="1432" w:type="dxa"/>
            <w:tcBorders>
              <w:top w:val="single" w:sz="4" w:space="0" w:color="F2F2F2"/>
              <w:left w:val="single" w:sz="4" w:space="0" w:color="F2F2F2"/>
              <w:bottom w:val="single" w:sz="4" w:space="0" w:color="F2F2F2"/>
              <w:right w:val="single" w:sz="4" w:space="0" w:color="F2F2F2"/>
            </w:tcBorders>
            <w:vAlign w:val="center"/>
            <w:hideMark/>
          </w:tcPr>
          <w:p w14:paraId="5CCEB5FA"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-1.2</w:t>
            </w:r>
          </w:p>
        </w:tc>
        <w:tc>
          <w:tcPr>
            <w:tcW w:w="1433" w:type="dxa"/>
            <w:tcBorders>
              <w:top w:val="single" w:sz="4" w:space="0" w:color="F2F2F2"/>
              <w:left w:val="single" w:sz="4" w:space="0" w:color="F2F2F2"/>
              <w:bottom w:val="single" w:sz="4" w:space="0" w:color="F2F2F2"/>
              <w:right w:val="single" w:sz="4" w:space="0" w:color="F2F2F2"/>
            </w:tcBorders>
            <w:noWrap/>
            <w:vAlign w:val="center"/>
            <w:hideMark/>
          </w:tcPr>
          <w:p w14:paraId="01282359"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0.0</w:t>
            </w:r>
          </w:p>
        </w:tc>
        <w:tc>
          <w:tcPr>
            <w:tcW w:w="172" w:type="dxa"/>
            <w:tcBorders>
              <w:left w:val="single" w:sz="4" w:space="0" w:color="F2F2F2"/>
              <w:right w:val="single" w:sz="4" w:space="0" w:color="F2F2F2"/>
            </w:tcBorders>
            <w:vAlign w:val="center"/>
          </w:tcPr>
          <w:p w14:paraId="7BE0BF02" w14:textId="77777777" w:rsidR="00767B7C" w:rsidRPr="00767B7C" w:rsidRDefault="00767B7C" w:rsidP="00767B7C">
            <w:pPr>
              <w:tabs>
                <w:tab w:val="left" w:pos="284"/>
              </w:tabs>
              <w:ind w:left="284"/>
              <w:jc w:val="both"/>
              <w:rPr>
                <w:rFonts w:ascii="Arial" w:hAnsi="Arial" w:cs="Arial"/>
                <w:sz w:val="18"/>
                <w:szCs w:val="18"/>
              </w:rPr>
            </w:pPr>
          </w:p>
        </w:tc>
        <w:tc>
          <w:tcPr>
            <w:tcW w:w="2005" w:type="dxa"/>
            <w:tcBorders>
              <w:top w:val="single" w:sz="4" w:space="0" w:color="F2F2F2"/>
              <w:left w:val="single" w:sz="4" w:space="0" w:color="F2F2F2"/>
              <w:bottom w:val="single" w:sz="4" w:space="0" w:color="F2F2F2"/>
              <w:right w:val="single" w:sz="4" w:space="0" w:color="F2F2F2"/>
            </w:tcBorders>
            <w:noWrap/>
            <w:vAlign w:val="center"/>
          </w:tcPr>
          <w:p w14:paraId="780C99F9"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Quintana Roo</w:t>
            </w:r>
          </w:p>
        </w:tc>
        <w:tc>
          <w:tcPr>
            <w:tcW w:w="1433" w:type="dxa"/>
            <w:tcBorders>
              <w:top w:val="single" w:sz="4" w:space="0" w:color="F2F2F2"/>
              <w:left w:val="single" w:sz="4" w:space="0" w:color="F2F2F2"/>
              <w:bottom w:val="single" w:sz="4" w:space="0" w:color="F2F2F2"/>
              <w:right w:val="single" w:sz="4" w:space="0" w:color="F2F2F2"/>
            </w:tcBorders>
            <w:vAlign w:val="center"/>
          </w:tcPr>
          <w:p w14:paraId="167BE091"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-4.2</w:t>
            </w:r>
          </w:p>
        </w:tc>
        <w:tc>
          <w:tcPr>
            <w:tcW w:w="1433" w:type="dxa"/>
            <w:tcBorders>
              <w:top w:val="single" w:sz="4" w:space="0" w:color="F2F2F2"/>
              <w:left w:val="single" w:sz="4" w:space="0" w:color="F2F2F2"/>
              <w:bottom w:val="single" w:sz="4" w:space="0" w:color="F2F2F2"/>
              <w:right w:val="single" w:sz="4" w:space="0" w:color="F2F2F2"/>
            </w:tcBorders>
            <w:noWrap/>
            <w:vAlign w:val="center"/>
          </w:tcPr>
          <w:p w14:paraId="2962DEF0"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-9.2</w:t>
            </w:r>
          </w:p>
        </w:tc>
      </w:tr>
      <w:tr w:rsidR="00767B7C" w:rsidRPr="00767B7C" w14:paraId="1FF137C9" w14:textId="77777777" w:rsidTr="007B687B">
        <w:trPr>
          <w:trHeight w:val="170"/>
          <w:jc w:val="center"/>
        </w:trPr>
        <w:tc>
          <w:tcPr>
            <w:tcW w:w="2062" w:type="dxa"/>
            <w:tcBorders>
              <w:top w:val="single" w:sz="4" w:space="0" w:color="F2F2F2"/>
              <w:left w:val="single" w:sz="4" w:space="0" w:color="F2F2F2"/>
              <w:bottom w:val="single" w:sz="4" w:space="0" w:color="F2F2F2"/>
              <w:right w:val="single" w:sz="4" w:space="0" w:color="F2F2F2"/>
            </w:tcBorders>
            <w:shd w:val="clear" w:color="auto" w:fill="F2F2F2"/>
            <w:noWrap/>
            <w:vAlign w:val="center"/>
            <w:hideMark/>
          </w:tcPr>
          <w:p w14:paraId="5650DC01"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Chihuahua</w:t>
            </w:r>
          </w:p>
        </w:tc>
        <w:tc>
          <w:tcPr>
            <w:tcW w:w="1432" w:type="dxa"/>
            <w:tcBorders>
              <w:top w:val="single" w:sz="4" w:space="0" w:color="F2F2F2"/>
              <w:left w:val="single" w:sz="4" w:space="0" w:color="F2F2F2"/>
              <w:bottom w:val="single" w:sz="4" w:space="0" w:color="F2F2F2"/>
              <w:right w:val="single" w:sz="4" w:space="0" w:color="F2F2F2"/>
            </w:tcBorders>
            <w:shd w:val="clear" w:color="auto" w:fill="F2F2F2"/>
            <w:vAlign w:val="center"/>
            <w:hideMark/>
          </w:tcPr>
          <w:p w14:paraId="7714E7C7"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-0.9</w:t>
            </w:r>
          </w:p>
        </w:tc>
        <w:tc>
          <w:tcPr>
            <w:tcW w:w="1433" w:type="dxa"/>
            <w:tcBorders>
              <w:top w:val="single" w:sz="4" w:space="0" w:color="F2F2F2"/>
              <w:left w:val="single" w:sz="4" w:space="0" w:color="F2F2F2"/>
              <w:bottom w:val="single" w:sz="4" w:space="0" w:color="F2F2F2"/>
              <w:right w:val="single" w:sz="4" w:space="0" w:color="F2F2F2"/>
            </w:tcBorders>
            <w:shd w:val="clear" w:color="auto" w:fill="F2F2F2"/>
            <w:noWrap/>
            <w:vAlign w:val="center"/>
            <w:hideMark/>
          </w:tcPr>
          <w:p w14:paraId="780CC031"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-1.3</w:t>
            </w:r>
          </w:p>
        </w:tc>
        <w:tc>
          <w:tcPr>
            <w:tcW w:w="172" w:type="dxa"/>
            <w:tcBorders>
              <w:left w:val="single" w:sz="4" w:space="0" w:color="F2F2F2"/>
              <w:right w:val="single" w:sz="4" w:space="0" w:color="F2F2F2"/>
            </w:tcBorders>
            <w:vAlign w:val="center"/>
          </w:tcPr>
          <w:p w14:paraId="1C35FE3B" w14:textId="77777777" w:rsidR="00767B7C" w:rsidRPr="00767B7C" w:rsidRDefault="00767B7C" w:rsidP="00767B7C">
            <w:pPr>
              <w:tabs>
                <w:tab w:val="left" w:pos="284"/>
              </w:tabs>
              <w:ind w:left="284"/>
              <w:jc w:val="both"/>
              <w:rPr>
                <w:rFonts w:ascii="Arial" w:hAnsi="Arial" w:cs="Arial"/>
                <w:sz w:val="18"/>
                <w:szCs w:val="18"/>
              </w:rPr>
            </w:pPr>
          </w:p>
        </w:tc>
        <w:tc>
          <w:tcPr>
            <w:tcW w:w="2005"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5E66DC99"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San Luis Potosí</w:t>
            </w:r>
          </w:p>
        </w:tc>
        <w:tc>
          <w:tcPr>
            <w:tcW w:w="1433" w:type="dxa"/>
            <w:tcBorders>
              <w:top w:val="single" w:sz="4" w:space="0" w:color="F2F2F2"/>
              <w:left w:val="single" w:sz="4" w:space="0" w:color="F2F2F2"/>
              <w:bottom w:val="single" w:sz="4" w:space="0" w:color="F2F2F2"/>
              <w:right w:val="single" w:sz="4" w:space="0" w:color="F2F2F2"/>
            </w:tcBorders>
            <w:shd w:val="clear" w:color="auto" w:fill="F2F2F2"/>
            <w:vAlign w:val="center"/>
          </w:tcPr>
          <w:p w14:paraId="2B29B825"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2.3</w:t>
            </w:r>
          </w:p>
        </w:tc>
        <w:tc>
          <w:tcPr>
            <w:tcW w:w="1433"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7A8A1FC1"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2.3</w:t>
            </w:r>
          </w:p>
        </w:tc>
      </w:tr>
      <w:tr w:rsidR="00767B7C" w:rsidRPr="00767B7C" w14:paraId="07D04D86" w14:textId="77777777" w:rsidTr="007B687B">
        <w:trPr>
          <w:trHeight w:val="170"/>
          <w:jc w:val="center"/>
        </w:trPr>
        <w:tc>
          <w:tcPr>
            <w:tcW w:w="2062" w:type="dxa"/>
            <w:tcBorders>
              <w:top w:val="single" w:sz="4" w:space="0" w:color="F2F2F2"/>
              <w:left w:val="single" w:sz="4" w:space="0" w:color="F2F2F2"/>
              <w:bottom w:val="single" w:sz="4" w:space="0" w:color="F2F2F2"/>
              <w:right w:val="single" w:sz="4" w:space="0" w:color="F2F2F2"/>
            </w:tcBorders>
            <w:noWrap/>
            <w:vAlign w:val="center"/>
            <w:hideMark/>
          </w:tcPr>
          <w:p w14:paraId="03F5D97D"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Ciudad de México</w:t>
            </w:r>
          </w:p>
        </w:tc>
        <w:tc>
          <w:tcPr>
            <w:tcW w:w="1432" w:type="dxa"/>
            <w:tcBorders>
              <w:top w:val="single" w:sz="4" w:space="0" w:color="F2F2F2"/>
              <w:left w:val="single" w:sz="4" w:space="0" w:color="F2F2F2"/>
              <w:bottom w:val="single" w:sz="4" w:space="0" w:color="F2F2F2"/>
              <w:right w:val="single" w:sz="4" w:space="0" w:color="F2F2F2"/>
            </w:tcBorders>
            <w:vAlign w:val="center"/>
            <w:hideMark/>
          </w:tcPr>
          <w:p w14:paraId="09A53E1F"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-0.4</w:t>
            </w:r>
          </w:p>
        </w:tc>
        <w:tc>
          <w:tcPr>
            <w:tcW w:w="1433" w:type="dxa"/>
            <w:tcBorders>
              <w:top w:val="single" w:sz="4" w:space="0" w:color="F2F2F2"/>
              <w:left w:val="single" w:sz="4" w:space="0" w:color="F2F2F2"/>
              <w:bottom w:val="single" w:sz="4" w:space="0" w:color="F2F2F2"/>
              <w:right w:val="single" w:sz="4" w:space="0" w:color="F2F2F2"/>
            </w:tcBorders>
            <w:noWrap/>
            <w:vAlign w:val="center"/>
            <w:hideMark/>
          </w:tcPr>
          <w:p w14:paraId="234CD719"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1.5</w:t>
            </w:r>
          </w:p>
        </w:tc>
        <w:tc>
          <w:tcPr>
            <w:tcW w:w="172" w:type="dxa"/>
            <w:tcBorders>
              <w:left w:val="single" w:sz="4" w:space="0" w:color="F2F2F2"/>
              <w:right w:val="single" w:sz="4" w:space="0" w:color="F2F2F2"/>
            </w:tcBorders>
            <w:vAlign w:val="center"/>
          </w:tcPr>
          <w:p w14:paraId="55E49786" w14:textId="77777777" w:rsidR="00767B7C" w:rsidRPr="00767B7C" w:rsidRDefault="00767B7C" w:rsidP="00767B7C">
            <w:pPr>
              <w:tabs>
                <w:tab w:val="left" w:pos="284"/>
              </w:tabs>
              <w:ind w:left="284"/>
              <w:jc w:val="both"/>
              <w:rPr>
                <w:rFonts w:ascii="Arial" w:hAnsi="Arial" w:cs="Arial"/>
                <w:sz w:val="18"/>
                <w:szCs w:val="18"/>
              </w:rPr>
            </w:pPr>
          </w:p>
        </w:tc>
        <w:tc>
          <w:tcPr>
            <w:tcW w:w="2005" w:type="dxa"/>
            <w:tcBorders>
              <w:top w:val="single" w:sz="4" w:space="0" w:color="F2F2F2"/>
              <w:left w:val="single" w:sz="4" w:space="0" w:color="F2F2F2"/>
              <w:bottom w:val="single" w:sz="4" w:space="0" w:color="F2F2F2"/>
              <w:right w:val="single" w:sz="4" w:space="0" w:color="F2F2F2"/>
            </w:tcBorders>
            <w:noWrap/>
            <w:vAlign w:val="center"/>
          </w:tcPr>
          <w:p w14:paraId="3D95C76C"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Sinaloa</w:t>
            </w:r>
          </w:p>
        </w:tc>
        <w:tc>
          <w:tcPr>
            <w:tcW w:w="1433" w:type="dxa"/>
            <w:tcBorders>
              <w:top w:val="single" w:sz="4" w:space="0" w:color="F2F2F2"/>
              <w:left w:val="single" w:sz="4" w:space="0" w:color="F2F2F2"/>
              <w:bottom w:val="single" w:sz="4" w:space="0" w:color="F2F2F2"/>
              <w:right w:val="single" w:sz="4" w:space="0" w:color="F2F2F2"/>
            </w:tcBorders>
            <w:vAlign w:val="center"/>
          </w:tcPr>
          <w:p w14:paraId="3610489C"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7.0</w:t>
            </w:r>
          </w:p>
        </w:tc>
        <w:tc>
          <w:tcPr>
            <w:tcW w:w="1433" w:type="dxa"/>
            <w:tcBorders>
              <w:top w:val="single" w:sz="4" w:space="0" w:color="F2F2F2"/>
              <w:left w:val="single" w:sz="4" w:space="0" w:color="F2F2F2"/>
              <w:bottom w:val="single" w:sz="4" w:space="0" w:color="F2F2F2"/>
              <w:right w:val="single" w:sz="4" w:space="0" w:color="F2F2F2"/>
            </w:tcBorders>
            <w:noWrap/>
            <w:vAlign w:val="center"/>
          </w:tcPr>
          <w:p w14:paraId="29BE625D"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2.0</w:t>
            </w:r>
          </w:p>
        </w:tc>
      </w:tr>
      <w:tr w:rsidR="00767B7C" w:rsidRPr="00767B7C" w14:paraId="0A020796" w14:textId="77777777" w:rsidTr="007B687B">
        <w:trPr>
          <w:trHeight w:val="170"/>
          <w:jc w:val="center"/>
        </w:trPr>
        <w:tc>
          <w:tcPr>
            <w:tcW w:w="2062" w:type="dxa"/>
            <w:tcBorders>
              <w:top w:val="single" w:sz="4" w:space="0" w:color="F2F2F2"/>
              <w:left w:val="single" w:sz="4" w:space="0" w:color="F2F2F2"/>
              <w:bottom w:val="single" w:sz="4" w:space="0" w:color="F2F2F2"/>
              <w:right w:val="single" w:sz="4" w:space="0" w:color="F2F2F2"/>
            </w:tcBorders>
            <w:shd w:val="clear" w:color="auto" w:fill="F2F2F2"/>
            <w:noWrap/>
            <w:vAlign w:val="center"/>
            <w:hideMark/>
          </w:tcPr>
          <w:p w14:paraId="5D3AC8F2"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Durango</w:t>
            </w:r>
          </w:p>
        </w:tc>
        <w:tc>
          <w:tcPr>
            <w:tcW w:w="1432" w:type="dxa"/>
            <w:tcBorders>
              <w:top w:val="single" w:sz="4" w:space="0" w:color="F2F2F2"/>
              <w:left w:val="single" w:sz="4" w:space="0" w:color="F2F2F2"/>
              <w:bottom w:val="single" w:sz="4" w:space="0" w:color="F2F2F2"/>
              <w:right w:val="single" w:sz="4" w:space="0" w:color="F2F2F2"/>
            </w:tcBorders>
            <w:shd w:val="clear" w:color="auto" w:fill="F2F2F2"/>
            <w:vAlign w:val="center"/>
            <w:hideMark/>
          </w:tcPr>
          <w:p w14:paraId="333BDFC1"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1.2</w:t>
            </w:r>
          </w:p>
        </w:tc>
        <w:tc>
          <w:tcPr>
            <w:tcW w:w="1433" w:type="dxa"/>
            <w:tcBorders>
              <w:top w:val="single" w:sz="4" w:space="0" w:color="F2F2F2"/>
              <w:left w:val="single" w:sz="4" w:space="0" w:color="F2F2F2"/>
              <w:bottom w:val="single" w:sz="4" w:space="0" w:color="F2F2F2"/>
              <w:right w:val="single" w:sz="4" w:space="0" w:color="F2F2F2"/>
            </w:tcBorders>
            <w:shd w:val="clear" w:color="auto" w:fill="F2F2F2"/>
            <w:noWrap/>
            <w:vAlign w:val="center"/>
            <w:hideMark/>
          </w:tcPr>
          <w:p w14:paraId="1B03C1E9"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-0.4</w:t>
            </w:r>
          </w:p>
        </w:tc>
        <w:tc>
          <w:tcPr>
            <w:tcW w:w="172" w:type="dxa"/>
            <w:tcBorders>
              <w:left w:val="single" w:sz="4" w:space="0" w:color="F2F2F2"/>
              <w:right w:val="single" w:sz="4" w:space="0" w:color="F2F2F2"/>
            </w:tcBorders>
            <w:vAlign w:val="center"/>
          </w:tcPr>
          <w:p w14:paraId="7A32D677" w14:textId="77777777" w:rsidR="00767B7C" w:rsidRPr="00767B7C" w:rsidRDefault="00767B7C" w:rsidP="00767B7C">
            <w:pPr>
              <w:tabs>
                <w:tab w:val="left" w:pos="284"/>
              </w:tabs>
              <w:ind w:left="284"/>
              <w:jc w:val="both"/>
              <w:rPr>
                <w:rFonts w:ascii="Arial" w:hAnsi="Arial" w:cs="Arial"/>
                <w:sz w:val="18"/>
                <w:szCs w:val="18"/>
              </w:rPr>
            </w:pPr>
          </w:p>
        </w:tc>
        <w:tc>
          <w:tcPr>
            <w:tcW w:w="2005"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0B5A96BC"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Sonora</w:t>
            </w:r>
          </w:p>
        </w:tc>
        <w:tc>
          <w:tcPr>
            <w:tcW w:w="1433" w:type="dxa"/>
            <w:tcBorders>
              <w:top w:val="single" w:sz="4" w:space="0" w:color="F2F2F2"/>
              <w:left w:val="single" w:sz="4" w:space="0" w:color="F2F2F2"/>
              <w:bottom w:val="single" w:sz="4" w:space="0" w:color="F2F2F2"/>
              <w:right w:val="single" w:sz="4" w:space="0" w:color="F2F2F2"/>
            </w:tcBorders>
            <w:shd w:val="clear" w:color="auto" w:fill="F2F2F2"/>
            <w:vAlign w:val="center"/>
          </w:tcPr>
          <w:p w14:paraId="2D555562"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0.2</w:t>
            </w:r>
          </w:p>
        </w:tc>
        <w:tc>
          <w:tcPr>
            <w:tcW w:w="1433"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3DB95516"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0.4</w:t>
            </w:r>
          </w:p>
        </w:tc>
      </w:tr>
      <w:tr w:rsidR="00767B7C" w:rsidRPr="00767B7C" w14:paraId="0DC2C25D" w14:textId="77777777" w:rsidTr="007B687B">
        <w:trPr>
          <w:trHeight w:val="170"/>
          <w:jc w:val="center"/>
        </w:trPr>
        <w:tc>
          <w:tcPr>
            <w:tcW w:w="2062" w:type="dxa"/>
            <w:tcBorders>
              <w:top w:val="single" w:sz="4" w:space="0" w:color="F2F2F2"/>
              <w:left w:val="single" w:sz="4" w:space="0" w:color="F2F2F2"/>
              <w:bottom w:val="single" w:sz="4" w:space="0" w:color="F2F2F2"/>
              <w:right w:val="single" w:sz="4" w:space="0" w:color="F2F2F2"/>
            </w:tcBorders>
            <w:shd w:val="clear" w:color="auto" w:fill="FFFFFF"/>
            <w:noWrap/>
            <w:vAlign w:val="center"/>
          </w:tcPr>
          <w:p w14:paraId="0AE9A9C3"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Guanajuato</w:t>
            </w:r>
          </w:p>
        </w:tc>
        <w:tc>
          <w:tcPr>
            <w:tcW w:w="1432" w:type="dxa"/>
            <w:tcBorders>
              <w:top w:val="single" w:sz="4" w:space="0" w:color="F2F2F2"/>
              <w:left w:val="single" w:sz="4" w:space="0" w:color="F2F2F2"/>
              <w:bottom w:val="single" w:sz="4" w:space="0" w:color="F2F2F2"/>
              <w:right w:val="single" w:sz="4" w:space="0" w:color="F2F2F2"/>
            </w:tcBorders>
            <w:shd w:val="clear" w:color="auto" w:fill="FFFFFF"/>
            <w:vAlign w:val="center"/>
          </w:tcPr>
          <w:p w14:paraId="41224E05"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-1.5</w:t>
            </w:r>
          </w:p>
        </w:tc>
        <w:tc>
          <w:tcPr>
            <w:tcW w:w="1433" w:type="dxa"/>
            <w:tcBorders>
              <w:top w:val="single" w:sz="4" w:space="0" w:color="F2F2F2"/>
              <w:left w:val="single" w:sz="4" w:space="0" w:color="F2F2F2"/>
              <w:bottom w:val="single" w:sz="4" w:space="0" w:color="F2F2F2"/>
              <w:right w:val="single" w:sz="4" w:space="0" w:color="F2F2F2"/>
            </w:tcBorders>
            <w:shd w:val="clear" w:color="auto" w:fill="FFFFFF"/>
            <w:noWrap/>
            <w:vAlign w:val="center"/>
          </w:tcPr>
          <w:p w14:paraId="5C17E7C9"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2.2</w:t>
            </w:r>
          </w:p>
        </w:tc>
        <w:tc>
          <w:tcPr>
            <w:tcW w:w="172" w:type="dxa"/>
            <w:tcBorders>
              <w:left w:val="single" w:sz="4" w:space="0" w:color="F2F2F2"/>
              <w:right w:val="single" w:sz="4" w:space="0" w:color="F2F2F2"/>
            </w:tcBorders>
            <w:vAlign w:val="center"/>
          </w:tcPr>
          <w:p w14:paraId="1C23FF49" w14:textId="77777777" w:rsidR="00767B7C" w:rsidRPr="00767B7C" w:rsidRDefault="00767B7C" w:rsidP="00767B7C">
            <w:pPr>
              <w:tabs>
                <w:tab w:val="left" w:pos="284"/>
              </w:tabs>
              <w:ind w:left="284"/>
              <w:jc w:val="both"/>
              <w:rPr>
                <w:rFonts w:ascii="Arial" w:hAnsi="Arial" w:cs="Arial"/>
                <w:sz w:val="18"/>
                <w:szCs w:val="18"/>
              </w:rPr>
            </w:pPr>
          </w:p>
        </w:tc>
        <w:tc>
          <w:tcPr>
            <w:tcW w:w="2005" w:type="dxa"/>
            <w:tcBorders>
              <w:top w:val="single" w:sz="4" w:space="0" w:color="F2F2F2"/>
              <w:left w:val="single" w:sz="4" w:space="0" w:color="F2F2F2"/>
              <w:bottom w:val="single" w:sz="4" w:space="0" w:color="F2F2F2"/>
              <w:right w:val="single" w:sz="4" w:space="0" w:color="F2F2F2"/>
            </w:tcBorders>
            <w:noWrap/>
            <w:vAlign w:val="center"/>
          </w:tcPr>
          <w:p w14:paraId="2C055143"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Tabasco</w:t>
            </w:r>
          </w:p>
        </w:tc>
        <w:tc>
          <w:tcPr>
            <w:tcW w:w="1433" w:type="dxa"/>
            <w:tcBorders>
              <w:top w:val="single" w:sz="4" w:space="0" w:color="F2F2F2"/>
              <w:left w:val="single" w:sz="4" w:space="0" w:color="F2F2F2"/>
              <w:bottom w:val="single" w:sz="4" w:space="0" w:color="F2F2F2"/>
              <w:right w:val="single" w:sz="4" w:space="0" w:color="F2F2F2"/>
            </w:tcBorders>
            <w:vAlign w:val="center"/>
          </w:tcPr>
          <w:p w14:paraId="630B4497"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-2.7</w:t>
            </w:r>
          </w:p>
        </w:tc>
        <w:tc>
          <w:tcPr>
            <w:tcW w:w="1433" w:type="dxa"/>
            <w:tcBorders>
              <w:top w:val="single" w:sz="4" w:space="0" w:color="F2F2F2"/>
              <w:left w:val="single" w:sz="4" w:space="0" w:color="F2F2F2"/>
              <w:bottom w:val="single" w:sz="4" w:space="0" w:color="F2F2F2"/>
              <w:right w:val="single" w:sz="4" w:space="0" w:color="F2F2F2"/>
            </w:tcBorders>
            <w:noWrap/>
            <w:vAlign w:val="center"/>
          </w:tcPr>
          <w:p w14:paraId="4253391C"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-12.3</w:t>
            </w:r>
          </w:p>
        </w:tc>
      </w:tr>
      <w:tr w:rsidR="00767B7C" w:rsidRPr="00767B7C" w14:paraId="15F3D7AD" w14:textId="77777777" w:rsidTr="007B687B">
        <w:trPr>
          <w:trHeight w:val="170"/>
          <w:jc w:val="center"/>
        </w:trPr>
        <w:tc>
          <w:tcPr>
            <w:tcW w:w="2062"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03A71F70"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Guerrero</w:t>
            </w:r>
          </w:p>
        </w:tc>
        <w:tc>
          <w:tcPr>
            <w:tcW w:w="1432" w:type="dxa"/>
            <w:tcBorders>
              <w:top w:val="single" w:sz="4" w:space="0" w:color="F2F2F2"/>
              <w:left w:val="single" w:sz="4" w:space="0" w:color="F2F2F2"/>
              <w:bottom w:val="single" w:sz="4" w:space="0" w:color="F2F2F2"/>
              <w:right w:val="single" w:sz="4" w:space="0" w:color="F2F2F2"/>
            </w:tcBorders>
            <w:shd w:val="clear" w:color="auto" w:fill="F2F2F2"/>
            <w:vAlign w:val="center"/>
          </w:tcPr>
          <w:p w14:paraId="3D6DC143"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2.4</w:t>
            </w:r>
          </w:p>
        </w:tc>
        <w:tc>
          <w:tcPr>
            <w:tcW w:w="1433"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369BFC4F"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8.0</w:t>
            </w:r>
          </w:p>
        </w:tc>
        <w:tc>
          <w:tcPr>
            <w:tcW w:w="172" w:type="dxa"/>
            <w:tcBorders>
              <w:left w:val="single" w:sz="4" w:space="0" w:color="F2F2F2"/>
              <w:right w:val="single" w:sz="4" w:space="0" w:color="F2F2F2"/>
            </w:tcBorders>
            <w:vAlign w:val="center"/>
          </w:tcPr>
          <w:p w14:paraId="192B3BCB" w14:textId="77777777" w:rsidR="00767B7C" w:rsidRPr="00767B7C" w:rsidRDefault="00767B7C" w:rsidP="00767B7C">
            <w:pPr>
              <w:tabs>
                <w:tab w:val="left" w:pos="284"/>
              </w:tabs>
              <w:ind w:left="284"/>
              <w:jc w:val="both"/>
              <w:rPr>
                <w:rFonts w:ascii="Arial" w:hAnsi="Arial" w:cs="Arial"/>
                <w:sz w:val="18"/>
                <w:szCs w:val="18"/>
              </w:rPr>
            </w:pPr>
          </w:p>
        </w:tc>
        <w:tc>
          <w:tcPr>
            <w:tcW w:w="2005"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2AA18D19"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Tamaulipas</w:t>
            </w:r>
          </w:p>
        </w:tc>
        <w:tc>
          <w:tcPr>
            <w:tcW w:w="1433" w:type="dxa"/>
            <w:tcBorders>
              <w:top w:val="single" w:sz="4" w:space="0" w:color="F2F2F2"/>
              <w:left w:val="single" w:sz="4" w:space="0" w:color="F2F2F2"/>
              <w:bottom w:val="single" w:sz="4" w:space="0" w:color="F2F2F2"/>
              <w:right w:val="single" w:sz="4" w:space="0" w:color="F2F2F2"/>
            </w:tcBorders>
            <w:shd w:val="clear" w:color="auto" w:fill="F2F2F2"/>
            <w:vAlign w:val="center"/>
          </w:tcPr>
          <w:p w14:paraId="12AED452"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-0.7</w:t>
            </w:r>
          </w:p>
        </w:tc>
        <w:tc>
          <w:tcPr>
            <w:tcW w:w="1433"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58141844"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2.9</w:t>
            </w:r>
          </w:p>
        </w:tc>
      </w:tr>
      <w:tr w:rsidR="00767B7C" w:rsidRPr="00767B7C" w14:paraId="362868B4" w14:textId="77777777" w:rsidTr="007B687B">
        <w:trPr>
          <w:trHeight w:val="170"/>
          <w:jc w:val="center"/>
        </w:trPr>
        <w:tc>
          <w:tcPr>
            <w:tcW w:w="2062" w:type="dxa"/>
            <w:tcBorders>
              <w:top w:val="single" w:sz="4" w:space="0" w:color="F2F2F2"/>
              <w:left w:val="single" w:sz="4" w:space="0" w:color="F2F2F2"/>
              <w:bottom w:val="single" w:sz="4" w:space="0" w:color="F2F2F2"/>
              <w:right w:val="single" w:sz="4" w:space="0" w:color="F2F2F2"/>
            </w:tcBorders>
            <w:noWrap/>
            <w:vAlign w:val="center"/>
          </w:tcPr>
          <w:p w14:paraId="46A5BBB3"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Hidalgo</w:t>
            </w:r>
          </w:p>
        </w:tc>
        <w:tc>
          <w:tcPr>
            <w:tcW w:w="1432" w:type="dxa"/>
            <w:tcBorders>
              <w:top w:val="single" w:sz="4" w:space="0" w:color="F2F2F2"/>
              <w:left w:val="single" w:sz="4" w:space="0" w:color="F2F2F2"/>
              <w:bottom w:val="single" w:sz="4" w:space="0" w:color="F2F2F2"/>
              <w:right w:val="single" w:sz="4" w:space="0" w:color="F2F2F2"/>
            </w:tcBorders>
            <w:vAlign w:val="center"/>
          </w:tcPr>
          <w:p w14:paraId="5F1E902D"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0.7</w:t>
            </w:r>
          </w:p>
        </w:tc>
        <w:tc>
          <w:tcPr>
            <w:tcW w:w="1433" w:type="dxa"/>
            <w:tcBorders>
              <w:top w:val="single" w:sz="4" w:space="0" w:color="F2F2F2"/>
              <w:left w:val="single" w:sz="4" w:space="0" w:color="F2F2F2"/>
              <w:bottom w:val="single" w:sz="4" w:space="0" w:color="F2F2F2"/>
              <w:right w:val="single" w:sz="4" w:space="0" w:color="F2F2F2"/>
            </w:tcBorders>
            <w:noWrap/>
            <w:vAlign w:val="center"/>
          </w:tcPr>
          <w:p w14:paraId="328DF97F"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0.5</w:t>
            </w:r>
          </w:p>
        </w:tc>
        <w:tc>
          <w:tcPr>
            <w:tcW w:w="172" w:type="dxa"/>
            <w:tcBorders>
              <w:left w:val="single" w:sz="4" w:space="0" w:color="F2F2F2"/>
              <w:right w:val="single" w:sz="4" w:space="0" w:color="F2F2F2"/>
            </w:tcBorders>
            <w:vAlign w:val="center"/>
          </w:tcPr>
          <w:p w14:paraId="0BA94D3D" w14:textId="77777777" w:rsidR="00767B7C" w:rsidRPr="00767B7C" w:rsidRDefault="00767B7C" w:rsidP="00767B7C">
            <w:pPr>
              <w:tabs>
                <w:tab w:val="left" w:pos="284"/>
              </w:tabs>
              <w:ind w:left="284"/>
              <w:jc w:val="both"/>
              <w:rPr>
                <w:rFonts w:ascii="Arial" w:hAnsi="Arial" w:cs="Arial"/>
                <w:sz w:val="18"/>
                <w:szCs w:val="18"/>
              </w:rPr>
            </w:pPr>
          </w:p>
        </w:tc>
        <w:tc>
          <w:tcPr>
            <w:tcW w:w="2005" w:type="dxa"/>
            <w:tcBorders>
              <w:top w:val="single" w:sz="4" w:space="0" w:color="F2F2F2"/>
              <w:left w:val="single" w:sz="4" w:space="0" w:color="F2F2F2"/>
              <w:bottom w:val="single" w:sz="4" w:space="0" w:color="F2F2F2"/>
              <w:right w:val="single" w:sz="4" w:space="0" w:color="F2F2F2"/>
            </w:tcBorders>
            <w:noWrap/>
            <w:vAlign w:val="center"/>
          </w:tcPr>
          <w:p w14:paraId="7904D74D"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Tlaxcala</w:t>
            </w:r>
          </w:p>
        </w:tc>
        <w:tc>
          <w:tcPr>
            <w:tcW w:w="1433" w:type="dxa"/>
            <w:tcBorders>
              <w:top w:val="single" w:sz="4" w:space="0" w:color="F2F2F2"/>
              <w:left w:val="single" w:sz="4" w:space="0" w:color="F2F2F2"/>
              <w:bottom w:val="single" w:sz="4" w:space="0" w:color="F2F2F2"/>
              <w:right w:val="single" w:sz="4" w:space="0" w:color="F2F2F2"/>
            </w:tcBorders>
            <w:vAlign w:val="center"/>
          </w:tcPr>
          <w:p w14:paraId="49C4A360"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1.4</w:t>
            </w:r>
          </w:p>
        </w:tc>
        <w:tc>
          <w:tcPr>
            <w:tcW w:w="1433" w:type="dxa"/>
            <w:tcBorders>
              <w:top w:val="single" w:sz="4" w:space="0" w:color="F2F2F2"/>
              <w:left w:val="single" w:sz="4" w:space="0" w:color="F2F2F2"/>
              <w:bottom w:val="single" w:sz="4" w:space="0" w:color="F2F2F2"/>
              <w:right w:val="single" w:sz="4" w:space="0" w:color="F2F2F2"/>
            </w:tcBorders>
            <w:noWrap/>
            <w:vAlign w:val="center"/>
          </w:tcPr>
          <w:p w14:paraId="17BC8433"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1.2</w:t>
            </w:r>
          </w:p>
        </w:tc>
      </w:tr>
      <w:tr w:rsidR="00767B7C" w:rsidRPr="00767B7C" w14:paraId="1516BE20" w14:textId="77777777" w:rsidTr="007B687B">
        <w:trPr>
          <w:trHeight w:val="170"/>
          <w:jc w:val="center"/>
        </w:trPr>
        <w:tc>
          <w:tcPr>
            <w:tcW w:w="2062"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47458281"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Jalisco</w:t>
            </w:r>
          </w:p>
        </w:tc>
        <w:tc>
          <w:tcPr>
            <w:tcW w:w="1432" w:type="dxa"/>
            <w:tcBorders>
              <w:top w:val="single" w:sz="4" w:space="0" w:color="F2F2F2"/>
              <w:left w:val="single" w:sz="4" w:space="0" w:color="F2F2F2"/>
              <w:bottom w:val="single" w:sz="4" w:space="0" w:color="F2F2F2"/>
              <w:right w:val="single" w:sz="4" w:space="0" w:color="F2F2F2"/>
            </w:tcBorders>
            <w:shd w:val="clear" w:color="auto" w:fill="F2F2F2"/>
            <w:vAlign w:val="center"/>
          </w:tcPr>
          <w:p w14:paraId="50AC62C8"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0.8</w:t>
            </w:r>
          </w:p>
        </w:tc>
        <w:tc>
          <w:tcPr>
            <w:tcW w:w="1433"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00567D49"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0.6</w:t>
            </w:r>
          </w:p>
        </w:tc>
        <w:tc>
          <w:tcPr>
            <w:tcW w:w="172" w:type="dxa"/>
            <w:tcBorders>
              <w:left w:val="single" w:sz="4" w:space="0" w:color="F2F2F2"/>
              <w:right w:val="single" w:sz="4" w:space="0" w:color="F2F2F2"/>
            </w:tcBorders>
            <w:vAlign w:val="center"/>
          </w:tcPr>
          <w:p w14:paraId="1110F8D8" w14:textId="77777777" w:rsidR="00767B7C" w:rsidRPr="00767B7C" w:rsidRDefault="00767B7C" w:rsidP="00767B7C">
            <w:pPr>
              <w:tabs>
                <w:tab w:val="left" w:pos="284"/>
              </w:tabs>
              <w:ind w:left="284"/>
              <w:jc w:val="both"/>
              <w:rPr>
                <w:rFonts w:ascii="Arial" w:hAnsi="Arial" w:cs="Arial"/>
                <w:sz w:val="18"/>
                <w:szCs w:val="18"/>
              </w:rPr>
            </w:pPr>
          </w:p>
        </w:tc>
        <w:tc>
          <w:tcPr>
            <w:tcW w:w="2005"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53272719"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Veracruz de Ignacio de la Llave </w:t>
            </w:r>
          </w:p>
        </w:tc>
        <w:tc>
          <w:tcPr>
            <w:tcW w:w="1433" w:type="dxa"/>
            <w:tcBorders>
              <w:top w:val="single" w:sz="4" w:space="0" w:color="F2F2F2"/>
              <w:left w:val="single" w:sz="4" w:space="0" w:color="F2F2F2"/>
              <w:bottom w:val="single" w:sz="4" w:space="0" w:color="F2F2F2"/>
              <w:right w:val="single" w:sz="4" w:space="0" w:color="F2F2F2"/>
            </w:tcBorders>
            <w:shd w:val="clear" w:color="auto" w:fill="F2F2F2"/>
            <w:vAlign w:val="center"/>
          </w:tcPr>
          <w:p w14:paraId="2013CDDF"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-0.6</w:t>
            </w:r>
          </w:p>
        </w:tc>
        <w:tc>
          <w:tcPr>
            <w:tcW w:w="1433"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32CD9D42"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-0.4</w:t>
            </w:r>
          </w:p>
        </w:tc>
      </w:tr>
      <w:tr w:rsidR="00767B7C" w:rsidRPr="00767B7C" w14:paraId="4CAF1C52" w14:textId="77777777" w:rsidTr="007B687B">
        <w:trPr>
          <w:trHeight w:val="170"/>
          <w:jc w:val="center"/>
        </w:trPr>
        <w:tc>
          <w:tcPr>
            <w:tcW w:w="2062" w:type="dxa"/>
            <w:tcBorders>
              <w:top w:val="single" w:sz="4" w:space="0" w:color="F2F2F2"/>
              <w:left w:val="single" w:sz="4" w:space="0" w:color="F2F2F2"/>
              <w:bottom w:val="single" w:sz="4" w:space="0" w:color="F2F2F2"/>
              <w:right w:val="single" w:sz="4" w:space="0" w:color="F2F2F2"/>
            </w:tcBorders>
            <w:noWrap/>
            <w:vAlign w:val="center"/>
          </w:tcPr>
          <w:p w14:paraId="2488A09A"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México</w:t>
            </w:r>
          </w:p>
        </w:tc>
        <w:tc>
          <w:tcPr>
            <w:tcW w:w="1432" w:type="dxa"/>
            <w:tcBorders>
              <w:top w:val="single" w:sz="4" w:space="0" w:color="F2F2F2"/>
              <w:left w:val="single" w:sz="4" w:space="0" w:color="F2F2F2"/>
              <w:bottom w:val="single" w:sz="4" w:space="0" w:color="F2F2F2"/>
              <w:right w:val="single" w:sz="4" w:space="0" w:color="F2F2F2"/>
            </w:tcBorders>
            <w:vAlign w:val="center"/>
          </w:tcPr>
          <w:p w14:paraId="2885F8A8"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0.4</w:t>
            </w:r>
          </w:p>
        </w:tc>
        <w:tc>
          <w:tcPr>
            <w:tcW w:w="1433" w:type="dxa"/>
            <w:tcBorders>
              <w:top w:val="single" w:sz="4" w:space="0" w:color="F2F2F2"/>
              <w:left w:val="single" w:sz="4" w:space="0" w:color="F2F2F2"/>
              <w:bottom w:val="single" w:sz="4" w:space="0" w:color="F2F2F2"/>
              <w:right w:val="single" w:sz="4" w:space="0" w:color="F2F2F2"/>
            </w:tcBorders>
            <w:noWrap/>
            <w:vAlign w:val="center"/>
          </w:tcPr>
          <w:p w14:paraId="36A10E2A"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0.6</w:t>
            </w:r>
          </w:p>
        </w:tc>
        <w:tc>
          <w:tcPr>
            <w:tcW w:w="172" w:type="dxa"/>
            <w:tcBorders>
              <w:left w:val="single" w:sz="4" w:space="0" w:color="F2F2F2"/>
              <w:right w:val="single" w:sz="4" w:space="0" w:color="F2F2F2"/>
            </w:tcBorders>
            <w:vAlign w:val="center"/>
          </w:tcPr>
          <w:p w14:paraId="5BA91F86" w14:textId="77777777" w:rsidR="00767B7C" w:rsidRPr="00767B7C" w:rsidRDefault="00767B7C" w:rsidP="00767B7C">
            <w:pPr>
              <w:tabs>
                <w:tab w:val="left" w:pos="284"/>
              </w:tabs>
              <w:ind w:left="284"/>
              <w:jc w:val="both"/>
              <w:rPr>
                <w:rFonts w:ascii="Arial" w:hAnsi="Arial" w:cs="Arial"/>
                <w:sz w:val="18"/>
                <w:szCs w:val="18"/>
              </w:rPr>
            </w:pPr>
          </w:p>
        </w:tc>
        <w:tc>
          <w:tcPr>
            <w:tcW w:w="2005" w:type="dxa"/>
            <w:tcBorders>
              <w:top w:val="single" w:sz="4" w:space="0" w:color="F2F2F2"/>
              <w:left w:val="single" w:sz="4" w:space="0" w:color="F2F2F2"/>
              <w:bottom w:val="single" w:sz="4" w:space="0" w:color="F2F2F2"/>
              <w:right w:val="single" w:sz="4" w:space="0" w:color="F2F2F2"/>
            </w:tcBorders>
            <w:noWrap/>
            <w:vAlign w:val="center"/>
          </w:tcPr>
          <w:p w14:paraId="022B2F5A"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Yucatán</w:t>
            </w:r>
          </w:p>
        </w:tc>
        <w:tc>
          <w:tcPr>
            <w:tcW w:w="1433" w:type="dxa"/>
            <w:tcBorders>
              <w:top w:val="single" w:sz="4" w:space="0" w:color="F2F2F2"/>
              <w:left w:val="single" w:sz="4" w:space="0" w:color="F2F2F2"/>
              <w:bottom w:val="single" w:sz="4" w:space="0" w:color="F2F2F2"/>
              <w:right w:val="single" w:sz="4" w:space="0" w:color="F2F2F2"/>
            </w:tcBorders>
            <w:vAlign w:val="center"/>
          </w:tcPr>
          <w:p w14:paraId="4DC430BD"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0.6</w:t>
            </w:r>
          </w:p>
        </w:tc>
        <w:tc>
          <w:tcPr>
            <w:tcW w:w="1433" w:type="dxa"/>
            <w:tcBorders>
              <w:top w:val="single" w:sz="4" w:space="0" w:color="F2F2F2"/>
              <w:left w:val="single" w:sz="4" w:space="0" w:color="F2F2F2"/>
              <w:bottom w:val="single" w:sz="4" w:space="0" w:color="F2F2F2"/>
              <w:right w:val="single" w:sz="4" w:space="0" w:color="F2F2F2"/>
            </w:tcBorders>
            <w:noWrap/>
            <w:vAlign w:val="center"/>
          </w:tcPr>
          <w:p w14:paraId="7A8EA078"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2.1</w:t>
            </w:r>
          </w:p>
        </w:tc>
      </w:tr>
      <w:tr w:rsidR="00767B7C" w:rsidRPr="00767B7C" w14:paraId="170187F8" w14:textId="77777777" w:rsidTr="007B687B">
        <w:trPr>
          <w:trHeight w:val="64"/>
          <w:jc w:val="center"/>
        </w:trPr>
        <w:tc>
          <w:tcPr>
            <w:tcW w:w="2062"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74DE5206"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Michoacán de Ocampo </w:t>
            </w:r>
          </w:p>
        </w:tc>
        <w:tc>
          <w:tcPr>
            <w:tcW w:w="1432" w:type="dxa"/>
            <w:tcBorders>
              <w:top w:val="single" w:sz="4" w:space="0" w:color="F2F2F2"/>
              <w:left w:val="single" w:sz="4" w:space="0" w:color="F2F2F2"/>
              <w:bottom w:val="single" w:sz="4" w:space="0" w:color="F2F2F2"/>
              <w:right w:val="single" w:sz="4" w:space="0" w:color="F2F2F2"/>
            </w:tcBorders>
            <w:shd w:val="clear" w:color="auto" w:fill="F2F2F2"/>
            <w:vAlign w:val="center"/>
          </w:tcPr>
          <w:p w14:paraId="0FFDA106"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2.0</w:t>
            </w:r>
          </w:p>
        </w:tc>
        <w:tc>
          <w:tcPr>
            <w:tcW w:w="1433"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10172BF0"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1.3</w:t>
            </w:r>
          </w:p>
        </w:tc>
        <w:tc>
          <w:tcPr>
            <w:tcW w:w="172" w:type="dxa"/>
            <w:tcBorders>
              <w:left w:val="single" w:sz="4" w:space="0" w:color="F2F2F2"/>
              <w:right w:val="single" w:sz="4" w:space="0" w:color="F2F2F2"/>
            </w:tcBorders>
            <w:vAlign w:val="center"/>
          </w:tcPr>
          <w:p w14:paraId="63FD57F9" w14:textId="77777777" w:rsidR="00767B7C" w:rsidRPr="00767B7C" w:rsidRDefault="00767B7C" w:rsidP="00767B7C">
            <w:pPr>
              <w:tabs>
                <w:tab w:val="left" w:pos="284"/>
              </w:tabs>
              <w:ind w:left="284"/>
              <w:jc w:val="both"/>
              <w:rPr>
                <w:rFonts w:ascii="Arial" w:hAnsi="Arial" w:cs="Arial"/>
                <w:sz w:val="18"/>
                <w:szCs w:val="18"/>
              </w:rPr>
            </w:pPr>
          </w:p>
        </w:tc>
        <w:tc>
          <w:tcPr>
            <w:tcW w:w="2005"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0924D7BB"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Zacatecas</w:t>
            </w:r>
          </w:p>
        </w:tc>
        <w:tc>
          <w:tcPr>
            <w:tcW w:w="1433" w:type="dxa"/>
            <w:tcBorders>
              <w:top w:val="single" w:sz="4" w:space="0" w:color="F2F2F2"/>
              <w:left w:val="single" w:sz="4" w:space="0" w:color="F2F2F2"/>
              <w:bottom w:val="single" w:sz="4" w:space="0" w:color="F2F2F2"/>
              <w:right w:val="single" w:sz="4" w:space="0" w:color="F2F2F2"/>
            </w:tcBorders>
            <w:shd w:val="clear" w:color="auto" w:fill="F2F2F2"/>
            <w:vAlign w:val="center"/>
          </w:tcPr>
          <w:p w14:paraId="6574E677"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2.2</w:t>
            </w:r>
          </w:p>
        </w:tc>
        <w:tc>
          <w:tcPr>
            <w:tcW w:w="1433"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50BA52A6"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3.6</w:t>
            </w:r>
          </w:p>
        </w:tc>
      </w:tr>
    </w:tbl>
    <w:p w14:paraId="30C9EA85" w14:textId="77777777" w:rsidR="00767B7C" w:rsidRPr="00600180" w:rsidRDefault="00767B7C" w:rsidP="00600180">
      <w:pPr>
        <w:tabs>
          <w:tab w:val="left" w:pos="284"/>
        </w:tabs>
        <w:spacing w:after="0"/>
        <w:ind w:left="284"/>
        <w:jc w:val="both"/>
        <w:rPr>
          <w:rFonts w:ascii="Arial" w:hAnsi="Arial" w:cs="Arial"/>
          <w:b/>
          <w:bCs/>
          <w:sz w:val="14"/>
          <w:szCs w:val="14"/>
        </w:rPr>
      </w:pPr>
      <w:r w:rsidRPr="00600180">
        <w:rPr>
          <w:rFonts w:ascii="Arial" w:hAnsi="Arial" w:cs="Arial"/>
          <w:b/>
          <w:bCs/>
          <w:sz w:val="14"/>
          <w:szCs w:val="14"/>
        </w:rPr>
        <w:t>Nota:</w:t>
      </w:r>
      <w:r w:rsidRPr="00600180">
        <w:rPr>
          <w:rFonts w:ascii="Arial" w:hAnsi="Arial" w:cs="Arial"/>
          <w:b/>
          <w:bCs/>
          <w:sz w:val="14"/>
          <w:szCs w:val="14"/>
        </w:rPr>
        <w:tab/>
        <w:t>Cifras elaboradas mediante métodos econométricos.</w:t>
      </w:r>
    </w:p>
    <w:p w14:paraId="4D36B759" w14:textId="054958F7" w:rsidR="00767B7C" w:rsidRPr="00600180" w:rsidRDefault="00767B7C" w:rsidP="00600180">
      <w:pPr>
        <w:tabs>
          <w:tab w:val="left" w:pos="284"/>
        </w:tabs>
        <w:spacing w:after="0"/>
        <w:ind w:left="284"/>
        <w:jc w:val="both"/>
        <w:rPr>
          <w:rFonts w:ascii="Arial" w:hAnsi="Arial" w:cs="Arial"/>
          <w:b/>
          <w:bCs/>
          <w:sz w:val="14"/>
          <w:szCs w:val="14"/>
        </w:rPr>
      </w:pPr>
      <w:r w:rsidRPr="00600180">
        <w:rPr>
          <w:rFonts w:ascii="Arial" w:hAnsi="Arial" w:cs="Arial"/>
          <w:b/>
          <w:bCs/>
          <w:sz w:val="14"/>
          <w:szCs w:val="14"/>
        </w:rPr>
        <w:t>Fuente:</w:t>
      </w:r>
      <w:r w:rsidR="00600180">
        <w:rPr>
          <w:rFonts w:ascii="Arial" w:hAnsi="Arial" w:cs="Arial"/>
          <w:b/>
          <w:bCs/>
          <w:sz w:val="14"/>
          <w:szCs w:val="14"/>
        </w:rPr>
        <w:t xml:space="preserve"> </w:t>
      </w:r>
      <w:proofErr w:type="spellStart"/>
      <w:r w:rsidRPr="00600180">
        <w:rPr>
          <w:rFonts w:ascii="Arial" w:hAnsi="Arial" w:cs="Arial"/>
          <w:b/>
          <w:bCs/>
          <w:sz w:val="14"/>
          <w:szCs w:val="14"/>
        </w:rPr>
        <w:t>inegi</w:t>
      </w:r>
      <w:proofErr w:type="spellEnd"/>
      <w:r w:rsidRPr="00600180">
        <w:rPr>
          <w:rFonts w:ascii="Arial" w:hAnsi="Arial" w:cs="Arial"/>
          <w:b/>
          <w:bCs/>
          <w:sz w:val="14"/>
          <w:szCs w:val="14"/>
        </w:rPr>
        <w:t>. Sistema de Cuentas Nacionales de México (</w:t>
      </w:r>
      <w:proofErr w:type="spellStart"/>
      <w:r w:rsidRPr="00600180">
        <w:rPr>
          <w:rFonts w:ascii="Arial" w:hAnsi="Arial" w:cs="Arial"/>
          <w:b/>
          <w:bCs/>
          <w:sz w:val="14"/>
          <w:szCs w:val="14"/>
        </w:rPr>
        <w:t>scnm</w:t>
      </w:r>
      <w:proofErr w:type="spellEnd"/>
      <w:r w:rsidRPr="00600180">
        <w:rPr>
          <w:rFonts w:ascii="Arial" w:hAnsi="Arial" w:cs="Arial"/>
          <w:b/>
          <w:bCs/>
          <w:sz w:val="14"/>
          <w:szCs w:val="14"/>
        </w:rPr>
        <w:t>). Indicador Trimestral de la Actividad Económica Estatal (</w:t>
      </w:r>
      <w:proofErr w:type="spellStart"/>
      <w:r w:rsidRPr="00600180">
        <w:rPr>
          <w:rFonts w:ascii="Arial" w:hAnsi="Arial" w:cs="Arial"/>
          <w:b/>
          <w:bCs/>
          <w:sz w:val="14"/>
          <w:szCs w:val="14"/>
        </w:rPr>
        <w:t>itaee</w:t>
      </w:r>
      <w:proofErr w:type="spellEnd"/>
      <w:r w:rsidRPr="00600180">
        <w:rPr>
          <w:rFonts w:ascii="Arial" w:hAnsi="Arial" w:cs="Arial"/>
          <w:b/>
          <w:bCs/>
          <w:sz w:val="14"/>
          <w:szCs w:val="14"/>
        </w:rPr>
        <w:t xml:space="preserve">), 2025. </w:t>
      </w:r>
    </w:p>
    <w:p w14:paraId="5C93294F" w14:textId="77777777" w:rsidR="00600180" w:rsidRDefault="00600180" w:rsidP="00767B7C">
      <w:pPr>
        <w:tabs>
          <w:tab w:val="left" w:pos="284"/>
        </w:tabs>
        <w:ind w:left="284"/>
        <w:jc w:val="both"/>
        <w:rPr>
          <w:rFonts w:ascii="Arial" w:hAnsi="Arial" w:cs="Arial"/>
          <w:sz w:val="18"/>
          <w:szCs w:val="18"/>
        </w:rPr>
      </w:pPr>
    </w:p>
    <w:p w14:paraId="65E6FBB9" w14:textId="08E1E176"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En este periodo, las actividades terciarias (comercio, operaciones con información y servicios) fueron las que presentaron el mejor comportamiento al crecer en 1.5 por ciento anual que ubicó a Tlaxcala en el lugar 11 respecto al resto de las entidades federativas. En los primeros lugares estuvieron Guerrero (8.8%), Baja California Sur (3.2%) y Yucatán (2.7%); mientras que las entidades con números negativos del periodo fueron Chiapas (1.9%), Baja California (0.6%), y Oaxaca (0.4%).</w:t>
      </w:r>
    </w:p>
    <w:p w14:paraId="6953CB7C" w14:textId="77777777" w:rsidR="00767B7C" w:rsidRPr="00767B7C" w:rsidRDefault="00767B7C" w:rsidP="00767B7C">
      <w:pPr>
        <w:tabs>
          <w:tab w:val="left" w:pos="284"/>
        </w:tabs>
        <w:ind w:left="284"/>
        <w:jc w:val="both"/>
        <w:rPr>
          <w:rFonts w:ascii="Arial" w:hAnsi="Arial" w:cs="Arial"/>
          <w:sz w:val="18"/>
          <w:szCs w:val="18"/>
        </w:rPr>
      </w:pPr>
    </w:p>
    <w:p w14:paraId="4EB247BC" w14:textId="77777777" w:rsidR="00767B7C" w:rsidRPr="00767B7C" w:rsidRDefault="00767B7C" w:rsidP="00767B7C">
      <w:pPr>
        <w:tabs>
          <w:tab w:val="left" w:pos="284"/>
        </w:tabs>
        <w:ind w:left="284"/>
        <w:jc w:val="both"/>
        <w:rPr>
          <w:rFonts w:ascii="Arial" w:hAnsi="Arial" w:cs="Arial"/>
          <w:sz w:val="18"/>
          <w:szCs w:val="18"/>
        </w:rPr>
      </w:pPr>
    </w:p>
    <w:p w14:paraId="2876E285" w14:textId="77777777" w:rsidR="00767B7C" w:rsidRPr="00767B7C" w:rsidRDefault="00767B7C" w:rsidP="00767B7C">
      <w:pPr>
        <w:tabs>
          <w:tab w:val="left" w:pos="284"/>
        </w:tabs>
        <w:ind w:left="284"/>
        <w:jc w:val="both"/>
        <w:rPr>
          <w:rFonts w:ascii="Arial" w:hAnsi="Arial" w:cs="Arial"/>
          <w:sz w:val="18"/>
          <w:szCs w:val="18"/>
        </w:rPr>
      </w:pPr>
    </w:p>
    <w:p w14:paraId="73DCDF61" w14:textId="77777777" w:rsidR="00767B7C" w:rsidRPr="00767B7C" w:rsidRDefault="00767B7C" w:rsidP="00767B7C">
      <w:pPr>
        <w:tabs>
          <w:tab w:val="left" w:pos="284"/>
        </w:tabs>
        <w:ind w:left="284"/>
        <w:jc w:val="both"/>
        <w:rPr>
          <w:rFonts w:ascii="Arial" w:hAnsi="Arial" w:cs="Arial"/>
          <w:sz w:val="18"/>
          <w:szCs w:val="18"/>
        </w:rPr>
      </w:pPr>
    </w:p>
    <w:p w14:paraId="74E45866" w14:textId="14A49371" w:rsidR="00767B7C" w:rsidRPr="00600180" w:rsidRDefault="00767B7C" w:rsidP="00600180">
      <w:pPr>
        <w:tabs>
          <w:tab w:val="left" w:pos="284"/>
        </w:tabs>
        <w:spacing w:after="0"/>
        <w:ind w:left="284"/>
        <w:jc w:val="center"/>
        <w:rPr>
          <w:rFonts w:ascii="Arial" w:hAnsi="Arial" w:cs="Arial"/>
          <w:b/>
          <w:bCs/>
          <w:sz w:val="18"/>
          <w:szCs w:val="18"/>
        </w:rPr>
      </w:pPr>
      <w:r w:rsidRPr="00600180">
        <w:rPr>
          <w:rFonts w:ascii="Arial" w:hAnsi="Arial" w:cs="Arial"/>
          <w:b/>
          <w:bCs/>
          <w:sz w:val="18"/>
          <w:szCs w:val="18"/>
        </w:rPr>
        <w:lastRenderedPageBreak/>
        <w:t>Variación anual y contribución de las actividades terciarias</w:t>
      </w:r>
    </w:p>
    <w:p w14:paraId="77202ED2" w14:textId="77777777" w:rsidR="00767B7C" w:rsidRPr="00600180" w:rsidRDefault="00767B7C" w:rsidP="00600180">
      <w:pPr>
        <w:tabs>
          <w:tab w:val="left" w:pos="284"/>
        </w:tabs>
        <w:spacing w:after="0"/>
        <w:ind w:left="284"/>
        <w:jc w:val="center"/>
        <w:rPr>
          <w:rFonts w:ascii="Arial" w:hAnsi="Arial" w:cs="Arial"/>
          <w:b/>
          <w:bCs/>
          <w:sz w:val="18"/>
          <w:szCs w:val="18"/>
        </w:rPr>
      </w:pPr>
      <w:r w:rsidRPr="00600180">
        <w:rPr>
          <w:rFonts w:ascii="Arial" w:hAnsi="Arial" w:cs="Arial"/>
          <w:b/>
          <w:bCs/>
          <w:sz w:val="18"/>
          <w:szCs w:val="18"/>
        </w:rPr>
        <w:t>primer trimestre de 20251/</w:t>
      </w:r>
    </w:p>
    <w:tbl>
      <w:tblPr>
        <w:tblW w:w="5009" w:type="pct"/>
        <w:tblCellMar>
          <w:left w:w="0" w:type="dxa"/>
          <w:right w:w="0" w:type="dxa"/>
        </w:tblCellMar>
        <w:tblLook w:val="04A0" w:firstRow="1" w:lastRow="0" w:firstColumn="1" w:lastColumn="0" w:noHBand="0" w:noVBand="1"/>
      </w:tblPr>
      <w:tblGrid>
        <w:gridCol w:w="4653"/>
        <w:gridCol w:w="148"/>
        <w:gridCol w:w="14"/>
        <w:gridCol w:w="4562"/>
      </w:tblGrid>
      <w:tr w:rsidR="00767B7C" w:rsidRPr="00600180" w14:paraId="682EE8E6" w14:textId="77777777" w:rsidTr="007B687B">
        <w:trPr>
          <w:trHeight w:hRule="exact" w:val="525"/>
        </w:trPr>
        <w:tc>
          <w:tcPr>
            <w:tcW w:w="3753" w:type="dxa"/>
            <w:vAlign w:val="center"/>
          </w:tcPr>
          <w:p w14:paraId="28B1328A" w14:textId="77777777" w:rsidR="00767B7C" w:rsidRPr="00600180" w:rsidRDefault="00767B7C" w:rsidP="00600180">
            <w:pPr>
              <w:tabs>
                <w:tab w:val="left" w:pos="284"/>
              </w:tabs>
              <w:spacing w:after="0"/>
              <w:ind w:left="284"/>
              <w:jc w:val="center"/>
              <w:rPr>
                <w:rFonts w:ascii="Arial" w:hAnsi="Arial" w:cs="Arial"/>
                <w:b/>
                <w:bCs/>
                <w:sz w:val="18"/>
                <w:szCs w:val="18"/>
              </w:rPr>
            </w:pPr>
            <w:r w:rsidRPr="00600180">
              <w:rPr>
                <w:rFonts w:ascii="Arial" w:hAnsi="Arial" w:cs="Arial"/>
                <w:b/>
                <w:bCs/>
                <w:sz w:val="18"/>
                <w:szCs w:val="18"/>
              </w:rPr>
              <w:t xml:space="preserve">Variación porcentual real </w:t>
            </w:r>
            <w:r w:rsidRPr="00600180">
              <w:rPr>
                <w:rFonts w:ascii="Arial" w:hAnsi="Arial" w:cs="Arial"/>
                <w:b/>
                <w:bCs/>
                <w:sz w:val="18"/>
                <w:szCs w:val="18"/>
              </w:rPr>
              <w:br/>
              <w:t>respecto al primer trimestre de 2024</w:t>
            </w:r>
          </w:p>
        </w:tc>
        <w:tc>
          <w:tcPr>
            <w:tcW w:w="146" w:type="dxa"/>
            <w:vAlign w:val="center"/>
          </w:tcPr>
          <w:p w14:paraId="30ECA28A" w14:textId="77777777" w:rsidR="00767B7C" w:rsidRPr="00600180" w:rsidRDefault="00767B7C" w:rsidP="00600180">
            <w:pPr>
              <w:tabs>
                <w:tab w:val="left" w:pos="284"/>
              </w:tabs>
              <w:spacing w:after="0"/>
              <w:ind w:left="284"/>
              <w:jc w:val="center"/>
              <w:rPr>
                <w:rFonts w:ascii="Arial" w:hAnsi="Arial" w:cs="Arial"/>
                <w:b/>
                <w:bCs/>
                <w:sz w:val="18"/>
                <w:szCs w:val="18"/>
              </w:rPr>
            </w:pPr>
          </w:p>
        </w:tc>
        <w:tc>
          <w:tcPr>
            <w:tcW w:w="4211" w:type="dxa"/>
            <w:gridSpan w:val="2"/>
            <w:vAlign w:val="center"/>
          </w:tcPr>
          <w:p w14:paraId="012449C6" w14:textId="77777777" w:rsidR="00767B7C" w:rsidRPr="00600180" w:rsidRDefault="00767B7C" w:rsidP="00600180">
            <w:pPr>
              <w:tabs>
                <w:tab w:val="left" w:pos="284"/>
              </w:tabs>
              <w:spacing w:after="0"/>
              <w:ind w:left="284"/>
              <w:jc w:val="center"/>
              <w:rPr>
                <w:rFonts w:ascii="Arial" w:hAnsi="Arial" w:cs="Arial"/>
                <w:b/>
                <w:bCs/>
                <w:sz w:val="18"/>
                <w:szCs w:val="18"/>
              </w:rPr>
            </w:pPr>
            <w:r w:rsidRPr="00600180">
              <w:rPr>
                <w:rFonts w:ascii="Arial" w:hAnsi="Arial" w:cs="Arial"/>
                <w:b/>
                <w:bCs/>
                <w:sz w:val="18"/>
                <w:szCs w:val="18"/>
              </w:rPr>
              <w:t xml:space="preserve">Contribución a la variación total real </w:t>
            </w:r>
            <w:r w:rsidRPr="00600180">
              <w:rPr>
                <w:rFonts w:ascii="Arial" w:hAnsi="Arial" w:cs="Arial"/>
                <w:b/>
                <w:bCs/>
                <w:sz w:val="18"/>
                <w:szCs w:val="18"/>
              </w:rPr>
              <w:br/>
              <w:t>de las actividades terciarias2/</w:t>
            </w:r>
          </w:p>
        </w:tc>
      </w:tr>
      <w:tr w:rsidR="00767B7C" w:rsidRPr="00767B7C" w14:paraId="034A6305" w14:textId="77777777" w:rsidTr="007B687B">
        <w:tblPrEx>
          <w:tblCellMar>
            <w:left w:w="70" w:type="dxa"/>
            <w:right w:w="70" w:type="dxa"/>
          </w:tblCellMar>
        </w:tblPrEx>
        <w:trPr>
          <w:trHeight w:val="7933"/>
        </w:trPr>
        <w:tc>
          <w:tcPr>
            <w:tcW w:w="3753" w:type="dxa"/>
            <w:vAlign w:val="center"/>
          </w:tcPr>
          <w:p w14:paraId="6AA9B3B1" w14:textId="61FC8D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noProof/>
                <w:sz w:val="18"/>
                <w:szCs w:val="18"/>
              </w:rPr>
              <w:drawing>
                <wp:inline distT="0" distB="0" distL="0" distR="0" wp14:anchorId="031D0FC9" wp14:editId="22C76075">
                  <wp:extent cx="2637155" cy="6400800"/>
                  <wp:effectExtent l="0" t="0" r="10795" b="0"/>
                  <wp:docPr id="1410233145"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160" w:type="dxa"/>
            <w:gridSpan w:val="2"/>
            <w:vAlign w:val="center"/>
          </w:tcPr>
          <w:p w14:paraId="0B5F8770" w14:textId="77777777" w:rsidR="00767B7C" w:rsidRPr="00767B7C" w:rsidRDefault="00767B7C" w:rsidP="00767B7C">
            <w:pPr>
              <w:tabs>
                <w:tab w:val="left" w:pos="284"/>
              </w:tabs>
              <w:ind w:left="284"/>
              <w:jc w:val="both"/>
              <w:rPr>
                <w:rFonts w:ascii="Arial" w:hAnsi="Arial" w:cs="Arial"/>
                <w:sz w:val="18"/>
                <w:szCs w:val="18"/>
              </w:rPr>
            </w:pPr>
          </w:p>
        </w:tc>
        <w:tc>
          <w:tcPr>
            <w:tcW w:w="4201" w:type="dxa"/>
            <w:vAlign w:val="center"/>
          </w:tcPr>
          <w:p w14:paraId="6ADB8A02" w14:textId="5FBAA6B9"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noProof/>
                <w:sz w:val="18"/>
                <w:szCs w:val="18"/>
              </w:rPr>
              <w:drawing>
                <wp:inline distT="0" distB="0" distL="0" distR="0" wp14:anchorId="0CF34726" wp14:editId="77BD8447">
                  <wp:extent cx="2588260" cy="6390229"/>
                  <wp:effectExtent l="0" t="0" r="2540" b="10795"/>
                  <wp:docPr id="1557054172"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57C566B2" w14:textId="77777777" w:rsidR="00767B7C" w:rsidRPr="00600180" w:rsidRDefault="00767B7C" w:rsidP="00600180">
      <w:pPr>
        <w:tabs>
          <w:tab w:val="left" w:pos="284"/>
        </w:tabs>
        <w:spacing w:after="0"/>
        <w:ind w:left="284"/>
        <w:jc w:val="both"/>
        <w:rPr>
          <w:rFonts w:ascii="Arial" w:hAnsi="Arial" w:cs="Arial"/>
          <w:b/>
          <w:bCs/>
          <w:sz w:val="14"/>
          <w:szCs w:val="14"/>
        </w:rPr>
      </w:pPr>
      <w:r w:rsidRPr="00600180">
        <w:rPr>
          <w:rFonts w:ascii="Arial" w:hAnsi="Arial" w:cs="Arial"/>
          <w:b/>
          <w:bCs/>
          <w:sz w:val="14"/>
          <w:szCs w:val="14"/>
        </w:rPr>
        <w:t>1/ Cifras preliminares.</w:t>
      </w:r>
    </w:p>
    <w:p w14:paraId="4B019721" w14:textId="77777777" w:rsidR="00767B7C" w:rsidRPr="00600180" w:rsidRDefault="00767B7C" w:rsidP="00600180">
      <w:pPr>
        <w:tabs>
          <w:tab w:val="left" w:pos="284"/>
        </w:tabs>
        <w:spacing w:after="0"/>
        <w:ind w:left="284"/>
        <w:jc w:val="both"/>
        <w:rPr>
          <w:rFonts w:ascii="Arial" w:hAnsi="Arial" w:cs="Arial"/>
          <w:b/>
          <w:bCs/>
          <w:sz w:val="14"/>
          <w:szCs w:val="14"/>
        </w:rPr>
      </w:pPr>
      <w:r w:rsidRPr="00600180">
        <w:rPr>
          <w:rFonts w:ascii="Arial" w:hAnsi="Arial" w:cs="Arial"/>
          <w:b/>
          <w:bCs/>
          <w:sz w:val="14"/>
          <w:szCs w:val="14"/>
        </w:rPr>
        <w:t>2/ Las contribuciones se obtienen ponderando las tasas de crecimiento con la participación que cada estado tiene en las actividades terciarias.</w:t>
      </w:r>
    </w:p>
    <w:p w14:paraId="170F9D04" w14:textId="7677A0C6" w:rsidR="00767B7C" w:rsidRPr="00600180" w:rsidRDefault="00767B7C" w:rsidP="00600180">
      <w:pPr>
        <w:tabs>
          <w:tab w:val="left" w:pos="284"/>
        </w:tabs>
        <w:spacing w:after="0"/>
        <w:ind w:left="284"/>
        <w:jc w:val="both"/>
        <w:rPr>
          <w:rFonts w:ascii="Arial" w:hAnsi="Arial" w:cs="Arial"/>
          <w:b/>
          <w:bCs/>
          <w:sz w:val="14"/>
          <w:szCs w:val="14"/>
        </w:rPr>
      </w:pPr>
      <w:r w:rsidRPr="00600180">
        <w:rPr>
          <w:rFonts w:ascii="Arial" w:hAnsi="Arial" w:cs="Arial"/>
          <w:b/>
          <w:bCs/>
          <w:sz w:val="14"/>
          <w:szCs w:val="14"/>
        </w:rPr>
        <w:t>Fuente:</w:t>
      </w:r>
      <w:r w:rsidR="00600180">
        <w:rPr>
          <w:rFonts w:ascii="Arial" w:hAnsi="Arial" w:cs="Arial"/>
          <w:b/>
          <w:bCs/>
          <w:sz w:val="14"/>
          <w:szCs w:val="14"/>
        </w:rPr>
        <w:t xml:space="preserve"> </w:t>
      </w:r>
      <w:proofErr w:type="spellStart"/>
      <w:r w:rsidRPr="00600180">
        <w:rPr>
          <w:rFonts w:ascii="Arial" w:hAnsi="Arial" w:cs="Arial"/>
          <w:b/>
          <w:bCs/>
          <w:sz w:val="14"/>
          <w:szCs w:val="14"/>
        </w:rPr>
        <w:t>inegi</w:t>
      </w:r>
      <w:proofErr w:type="spellEnd"/>
      <w:r w:rsidRPr="00600180">
        <w:rPr>
          <w:rFonts w:ascii="Arial" w:hAnsi="Arial" w:cs="Arial"/>
          <w:b/>
          <w:bCs/>
          <w:sz w:val="14"/>
          <w:szCs w:val="14"/>
        </w:rPr>
        <w:t>. Sistema de Cuentas Nacionales de México (</w:t>
      </w:r>
      <w:proofErr w:type="spellStart"/>
      <w:r w:rsidRPr="00600180">
        <w:rPr>
          <w:rFonts w:ascii="Arial" w:hAnsi="Arial" w:cs="Arial"/>
          <w:b/>
          <w:bCs/>
          <w:sz w:val="14"/>
          <w:szCs w:val="14"/>
        </w:rPr>
        <w:t>scnm</w:t>
      </w:r>
      <w:proofErr w:type="spellEnd"/>
      <w:r w:rsidRPr="00600180">
        <w:rPr>
          <w:rFonts w:ascii="Arial" w:hAnsi="Arial" w:cs="Arial"/>
          <w:b/>
          <w:bCs/>
          <w:sz w:val="14"/>
          <w:szCs w:val="14"/>
        </w:rPr>
        <w:t>). Indicador Trimestral de la Actividad Económica Estatal (</w:t>
      </w:r>
      <w:proofErr w:type="spellStart"/>
      <w:r w:rsidRPr="00600180">
        <w:rPr>
          <w:rFonts w:ascii="Arial" w:hAnsi="Arial" w:cs="Arial"/>
          <w:b/>
          <w:bCs/>
          <w:sz w:val="14"/>
          <w:szCs w:val="14"/>
        </w:rPr>
        <w:t>itaee</w:t>
      </w:r>
      <w:proofErr w:type="spellEnd"/>
      <w:r w:rsidRPr="00600180">
        <w:rPr>
          <w:rFonts w:ascii="Arial" w:hAnsi="Arial" w:cs="Arial"/>
          <w:b/>
          <w:bCs/>
          <w:sz w:val="14"/>
          <w:szCs w:val="14"/>
        </w:rPr>
        <w:t>), 2025.</w:t>
      </w:r>
    </w:p>
    <w:p w14:paraId="45882BE9" w14:textId="77777777" w:rsidR="00600180" w:rsidRDefault="00600180" w:rsidP="00767B7C">
      <w:pPr>
        <w:tabs>
          <w:tab w:val="left" w:pos="284"/>
        </w:tabs>
        <w:ind w:left="284"/>
        <w:jc w:val="both"/>
        <w:rPr>
          <w:rFonts w:ascii="Arial" w:hAnsi="Arial" w:cs="Arial"/>
          <w:sz w:val="18"/>
          <w:szCs w:val="18"/>
        </w:rPr>
      </w:pPr>
    </w:p>
    <w:p w14:paraId="4D0755A1" w14:textId="27C4D766"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A </w:t>
      </w:r>
      <w:proofErr w:type="gramStart"/>
      <w:r w:rsidRPr="00767B7C">
        <w:rPr>
          <w:rFonts w:ascii="Arial" w:hAnsi="Arial" w:cs="Arial"/>
          <w:sz w:val="18"/>
          <w:szCs w:val="18"/>
        </w:rPr>
        <w:t>continuación</w:t>
      </w:r>
      <w:proofErr w:type="gramEnd"/>
      <w:r w:rsidRPr="00767B7C">
        <w:rPr>
          <w:rFonts w:ascii="Arial" w:hAnsi="Arial" w:cs="Arial"/>
          <w:sz w:val="18"/>
          <w:szCs w:val="18"/>
        </w:rPr>
        <w:t xml:space="preserve"> se colocaron las actividades primarias (agricultura, cría y exploración de animales, aprovechamiento forestal, caza y pesca) que registraron un crecimiento de 1.3 por ciento en comparación con el primer trimestre de 2024. En este caso, Tlaxcala obtuvo el lugar 22 a nivel nacional, mientras que los primeros los ocuparon Tamaulipas (24.3%), Baja California (23%) y Zacatecas (23%).</w:t>
      </w:r>
    </w:p>
    <w:p w14:paraId="4480132E" w14:textId="79EBD364" w:rsidR="00767B7C" w:rsidRPr="00600180" w:rsidRDefault="00767B7C" w:rsidP="00600180">
      <w:pPr>
        <w:tabs>
          <w:tab w:val="left" w:pos="284"/>
        </w:tabs>
        <w:spacing w:after="0"/>
        <w:ind w:left="284"/>
        <w:jc w:val="center"/>
        <w:rPr>
          <w:rFonts w:ascii="Arial" w:hAnsi="Arial" w:cs="Arial"/>
          <w:b/>
          <w:bCs/>
          <w:sz w:val="18"/>
          <w:szCs w:val="18"/>
        </w:rPr>
      </w:pPr>
      <w:r w:rsidRPr="00600180">
        <w:rPr>
          <w:rFonts w:ascii="Arial" w:hAnsi="Arial" w:cs="Arial"/>
          <w:b/>
          <w:bCs/>
          <w:sz w:val="18"/>
          <w:szCs w:val="18"/>
        </w:rPr>
        <w:lastRenderedPageBreak/>
        <w:t>Variación anual y contribución de las actividades primarias</w:t>
      </w:r>
    </w:p>
    <w:p w14:paraId="006C9871" w14:textId="77777777" w:rsidR="00767B7C" w:rsidRPr="00600180" w:rsidRDefault="00767B7C" w:rsidP="00600180">
      <w:pPr>
        <w:tabs>
          <w:tab w:val="left" w:pos="284"/>
        </w:tabs>
        <w:spacing w:after="0"/>
        <w:ind w:left="284"/>
        <w:jc w:val="center"/>
        <w:rPr>
          <w:rFonts w:ascii="Arial" w:hAnsi="Arial" w:cs="Arial"/>
          <w:b/>
          <w:bCs/>
          <w:sz w:val="18"/>
          <w:szCs w:val="18"/>
        </w:rPr>
      </w:pPr>
      <w:r w:rsidRPr="00600180">
        <w:rPr>
          <w:rFonts w:ascii="Arial" w:hAnsi="Arial" w:cs="Arial"/>
          <w:b/>
          <w:bCs/>
          <w:sz w:val="18"/>
          <w:szCs w:val="18"/>
        </w:rPr>
        <w:t>primer trimestre de 20251/</w:t>
      </w:r>
    </w:p>
    <w:tbl>
      <w:tblPr>
        <w:tblW w:w="4410" w:type="pct"/>
        <w:jc w:val="center"/>
        <w:tblCellMar>
          <w:left w:w="0" w:type="dxa"/>
          <w:right w:w="0" w:type="dxa"/>
        </w:tblCellMar>
        <w:tblLook w:val="04A0" w:firstRow="1" w:lastRow="0" w:firstColumn="1" w:lastColumn="0" w:noHBand="0" w:noVBand="1"/>
      </w:tblPr>
      <w:tblGrid>
        <w:gridCol w:w="4354"/>
        <w:gridCol w:w="146"/>
        <w:gridCol w:w="4234"/>
      </w:tblGrid>
      <w:tr w:rsidR="00767B7C" w:rsidRPr="00600180" w14:paraId="5987C473" w14:textId="77777777" w:rsidTr="007B687B">
        <w:trPr>
          <w:trHeight w:hRule="exact" w:val="414"/>
          <w:jc w:val="center"/>
        </w:trPr>
        <w:tc>
          <w:tcPr>
            <w:tcW w:w="3561" w:type="dxa"/>
            <w:vAlign w:val="center"/>
          </w:tcPr>
          <w:p w14:paraId="6120DA86" w14:textId="77777777" w:rsidR="00767B7C" w:rsidRPr="00600180" w:rsidRDefault="00767B7C" w:rsidP="00600180">
            <w:pPr>
              <w:tabs>
                <w:tab w:val="left" w:pos="284"/>
              </w:tabs>
              <w:spacing w:after="0"/>
              <w:ind w:left="284"/>
              <w:jc w:val="center"/>
              <w:rPr>
                <w:rFonts w:ascii="Arial" w:hAnsi="Arial" w:cs="Arial"/>
                <w:b/>
                <w:bCs/>
                <w:sz w:val="18"/>
                <w:szCs w:val="18"/>
              </w:rPr>
            </w:pPr>
            <w:r w:rsidRPr="00600180">
              <w:rPr>
                <w:rFonts w:ascii="Arial" w:hAnsi="Arial" w:cs="Arial"/>
                <w:b/>
                <w:bCs/>
                <w:sz w:val="18"/>
                <w:szCs w:val="18"/>
              </w:rPr>
              <w:t xml:space="preserve">Variación porcentual real </w:t>
            </w:r>
            <w:r w:rsidRPr="00600180">
              <w:rPr>
                <w:rFonts w:ascii="Arial" w:hAnsi="Arial" w:cs="Arial"/>
                <w:b/>
                <w:bCs/>
                <w:sz w:val="18"/>
                <w:szCs w:val="18"/>
              </w:rPr>
              <w:br/>
              <w:t>respecto al primer trimestre de 2024</w:t>
            </w:r>
          </w:p>
        </w:tc>
        <w:tc>
          <w:tcPr>
            <w:tcW w:w="128" w:type="dxa"/>
            <w:vAlign w:val="center"/>
          </w:tcPr>
          <w:p w14:paraId="446C3EB7" w14:textId="77777777" w:rsidR="00767B7C" w:rsidRPr="00600180" w:rsidRDefault="00767B7C" w:rsidP="00600180">
            <w:pPr>
              <w:tabs>
                <w:tab w:val="left" w:pos="284"/>
              </w:tabs>
              <w:spacing w:after="0"/>
              <w:ind w:left="284"/>
              <w:jc w:val="center"/>
              <w:rPr>
                <w:rFonts w:ascii="Arial" w:hAnsi="Arial" w:cs="Arial"/>
                <w:b/>
                <w:bCs/>
                <w:sz w:val="18"/>
                <w:szCs w:val="18"/>
              </w:rPr>
            </w:pPr>
          </w:p>
        </w:tc>
        <w:tc>
          <w:tcPr>
            <w:tcW w:w="3456" w:type="dxa"/>
            <w:vAlign w:val="center"/>
          </w:tcPr>
          <w:p w14:paraId="07AED756" w14:textId="77777777" w:rsidR="00767B7C" w:rsidRPr="00600180" w:rsidRDefault="00767B7C" w:rsidP="00600180">
            <w:pPr>
              <w:tabs>
                <w:tab w:val="left" w:pos="284"/>
              </w:tabs>
              <w:spacing w:after="0"/>
              <w:ind w:left="284"/>
              <w:jc w:val="center"/>
              <w:rPr>
                <w:rFonts w:ascii="Arial" w:hAnsi="Arial" w:cs="Arial"/>
                <w:b/>
                <w:bCs/>
                <w:sz w:val="18"/>
                <w:szCs w:val="18"/>
              </w:rPr>
            </w:pPr>
            <w:r w:rsidRPr="00600180">
              <w:rPr>
                <w:rFonts w:ascii="Arial" w:hAnsi="Arial" w:cs="Arial"/>
                <w:b/>
                <w:bCs/>
                <w:sz w:val="18"/>
                <w:szCs w:val="18"/>
              </w:rPr>
              <w:t xml:space="preserve">Contribución a la variación total real </w:t>
            </w:r>
            <w:r w:rsidRPr="00600180">
              <w:rPr>
                <w:rFonts w:ascii="Arial" w:hAnsi="Arial" w:cs="Arial"/>
                <w:b/>
                <w:bCs/>
                <w:sz w:val="18"/>
                <w:szCs w:val="18"/>
              </w:rPr>
              <w:br/>
              <w:t>de las actividades primarias2/</w:t>
            </w:r>
          </w:p>
        </w:tc>
      </w:tr>
      <w:tr w:rsidR="00767B7C" w:rsidRPr="00767B7C" w14:paraId="1CAFC02B" w14:textId="77777777" w:rsidTr="007B687B">
        <w:tblPrEx>
          <w:tblCellMar>
            <w:left w:w="70" w:type="dxa"/>
            <w:right w:w="70" w:type="dxa"/>
          </w:tblCellMar>
        </w:tblPrEx>
        <w:trPr>
          <w:trHeight w:val="6274"/>
          <w:jc w:val="center"/>
        </w:trPr>
        <w:tc>
          <w:tcPr>
            <w:tcW w:w="3561" w:type="dxa"/>
            <w:vAlign w:val="center"/>
          </w:tcPr>
          <w:p w14:paraId="4888512F" w14:textId="74A77DD2"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noProof/>
                <w:sz w:val="18"/>
                <w:szCs w:val="18"/>
              </w:rPr>
              <w:drawing>
                <wp:inline distT="0" distB="0" distL="0" distR="0" wp14:anchorId="6BFD27F7" wp14:editId="609A3047">
                  <wp:extent cx="2494280" cy="6152379"/>
                  <wp:effectExtent l="0" t="0" r="1270" b="1270"/>
                  <wp:docPr id="592308853"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128" w:type="dxa"/>
            <w:vAlign w:val="center"/>
          </w:tcPr>
          <w:p w14:paraId="309F5702" w14:textId="77777777" w:rsidR="00767B7C" w:rsidRPr="00767B7C" w:rsidRDefault="00767B7C" w:rsidP="00767B7C">
            <w:pPr>
              <w:tabs>
                <w:tab w:val="left" w:pos="284"/>
              </w:tabs>
              <w:ind w:left="284"/>
              <w:jc w:val="both"/>
              <w:rPr>
                <w:rFonts w:ascii="Arial" w:hAnsi="Arial" w:cs="Arial"/>
                <w:sz w:val="18"/>
                <w:szCs w:val="18"/>
              </w:rPr>
            </w:pPr>
          </w:p>
        </w:tc>
        <w:tc>
          <w:tcPr>
            <w:tcW w:w="3456" w:type="dxa"/>
            <w:vAlign w:val="center"/>
          </w:tcPr>
          <w:p w14:paraId="6BD9C6E2" w14:textId="1DE4DE34"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noProof/>
                <w:sz w:val="18"/>
                <w:szCs w:val="18"/>
              </w:rPr>
              <w:drawing>
                <wp:inline distT="0" distB="0" distL="0" distR="0" wp14:anchorId="69F3112D" wp14:editId="51743084">
                  <wp:extent cx="2403475" cy="6141808"/>
                  <wp:effectExtent l="0" t="0" r="15875" b="11430"/>
                  <wp:docPr id="1239956683"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1D6BF309" w14:textId="77777777" w:rsidR="00767B7C" w:rsidRPr="00600180" w:rsidRDefault="00767B7C" w:rsidP="00600180">
      <w:pPr>
        <w:tabs>
          <w:tab w:val="left" w:pos="284"/>
        </w:tabs>
        <w:spacing w:after="0"/>
        <w:ind w:left="284"/>
        <w:jc w:val="both"/>
        <w:rPr>
          <w:rFonts w:ascii="Arial" w:hAnsi="Arial" w:cs="Arial"/>
          <w:b/>
          <w:bCs/>
          <w:sz w:val="14"/>
          <w:szCs w:val="14"/>
        </w:rPr>
      </w:pPr>
      <w:r w:rsidRPr="00600180">
        <w:rPr>
          <w:rFonts w:ascii="Arial" w:hAnsi="Arial" w:cs="Arial"/>
          <w:b/>
          <w:bCs/>
          <w:sz w:val="14"/>
          <w:szCs w:val="14"/>
        </w:rPr>
        <w:t>1/ Cifras preliminares.</w:t>
      </w:r>
    </w:p>
    <w:p w14:paraId="515769B3" w14:textId="77777777" w:rsidR="00767B7C" w:rsidRPr="00600180" w:rsidRDefault="00767B7C" w:rsidP="00600180">
      <w:pPr>
        <w:tabs>
          <w:tab w:val="left" w:pos="284"/>
        </w:tabs>
        <w:spacing w:after="0"/>
        <w:ind w:left="284"/>
        <w:jc w:val="both"/>
        <w:rPr>
          <w:rFonts w:ascii="Arial" w:hAnsi="Arial" w:cs="Arial"/>
          <w:b/>
          <w:bCs/>
          <w:sz w:val="14"/>
          <w:szCs w:val="14"/>
        </w:rPr>
      </w:pPr>
      <w:r w:rsidRPr="00600180">
        <w:rPr>
          <w:rFonts w:ascii="Arial" w:hAnsi="Arial" w:cs="Arial"/>
          <w:b/>
          <w:bCs/>
          <w:sz w:val="14"/>
          <w:szCs w:val="14"/>
        </w:rPr>
        <w:t>2/ Las contribuciones se obtienen ponderando las tasas de crecimiento con la participación que cada estado tiene en las actividades primarias.</w:t>
      </w:r>
    </w:p>
    <w:p w14:paraId="217ED22B" w14:textId="3D70D26B" w:rsidR="00767B7C" w:rsidRPr="00600180" w:rsidRDefault="00767B7C" w:rsidP="00600180">
      <w:pPr>
        <w:tabs>
          <w:tab w:val="left" w:pos="284"/>
        </w:tabs>
        <w:spacing w:after="0"/>
        <w:ind w:left="284"/>
        <w:jc w:val="both"/>
        <w:rPr>
          <w:rFonts w:ascii="Arial" w:hAnsi="Arial" w:cs="Arial"/>
          <w:b/>
          <w:bCs/>
          <w:sz w:val="14"/>
          <w:szCs w:val="14"/>
        </w:rPr>
      </w:pPr>
      <w:r w:rsidRPr="00600180">
        <w:rPr>
          <w:rFonts w:ascii="Arial" w:hAnsi="Arial" w:cs="Arial"/>
          <w:b/>
          <w:bCs/>
          <w:sz w:val="14"/>
          <w:szCs w:val="14"/>
        </w:rPr>
        <w:t>Fuente:</w:t>
      </w:r>
      <w:r w:rsidR="00600180">
        <w:rPr>
          <w:rFonts w:ascii="Arial" w:hAnsi="Arial" w:cs="Arial"/>
          <w:b/>
          <w:bCs/>
          <w:sz w:val="14"/>
          <w:szCs w:val="14"/>
        </w:rPr>
        <w:t xml:space="preserve"> </w:t>
      </w:r>
      <w:proofErr w:type="spellStart"/>
      <w:r w:rsidRPr="00600180">
        <w:rPr>
          <w:rFonts w:ascii="Arial" w:hAnsi="Arial" w:cs="Arial"/>
          <w:b/>
          <w:bCs/>
          <w:sz w:val="14"/>
          <w:szCs w:val="14"/>
        </w:rPr>
        <w:t>inegi</w:t>
      </w:r>
      <w:proofErr w:type="spellEnd"/>
      <w:r w:rsidRPr="00600180">
        <w:rPr>
          <w:rFonts w:ascii="Arial" w:hAnsi="Arial" w:cs="Arial"/>
          <w:b/>
          <w:bCs/>
          <w:sz w:val="14"/>
          <w:szCs w:val="14"/>
        </w:rPr>
        <w:t>. Sistema de Cuentas Nacionales de México (</w:t>
      </w:r>
      <w:proofErr w:type="spellStart"/>
      <w:r w:rsidRPr="00600180">
        <w:rPr>
          <w:rFonts w:ascii="Arial" w:hAnsi="Arial" w:cs="Arial"/>
          <w:b/>
          <w:bCs/>
          <w:sz w:val="14"/>
          <w:szCs w:val="14"/>
        </w:rPr>
        <w:t>scnm</w:t>
      </w:r>
      <w:proofErr w:type="spellEnd"/>
      <w:r w:rsidRPr="00600180">
        <w:rPr>
          <w:rFonts w:ascii="Arial" w:hAnsi="Arial" w:cs="Arial"/>
          <w:b/>
          <w:bCs/>
          <w:sz w:val="14"/>
          <w:szCs w:val="14"/>
        </w:rPr>
        <w:t>). Indicador Trimestral de la Actividad Económica Estatal (</w:t>
      </w:r>
      <w:proofErr w:type="spellStart"/>
      <w:r w:rsidRPr="00600180">
        <w:rPr>
          <w:rFonts w:ascii="Arial" w:hAnsi="Arial" w:cs="Arial"/>
          <w:b/>
          <w:bCs/>
          <w:sz w:val="14"/>
          <w:szCs w:val="14"/>
        </w:rPr>
        <w:t>itaee</w:t>
      </w:r>
      <w:proofErr w:type="spellEnd"/>
      <w:r w:rsidRPr="00600180">
        <w:rPr>
          <w:rFonts w:ascii="Arial" w:hAnsi="Arial" w:cs="Arial"/>
          <w:b/>
          <w:bCs/>
          <w:sz w:val="14"/>
          <w:szCs w:val="14"/>
        </w:rPr>
        <w:t>), 2025.</w:t>
      </w:r>
    </w:p>
    <w:p w14:paraId="195182CE" w14:textId="77777777" w:rsidR="00767B7C" w:rsidRPr="00767B7C" w:rsidRDefault="00767B7C" w:rsidP="00767B7C">
      <w:pPr>
        <w:tabs>
          <w:tab w:val="left" w:pos="284"/>
        </w:tabs>
        <w:ind w:left="284"/>
        <w:jc w:val="both"/>
        <w:rPr>
          <w:rFonts w:ascii="Arial" w:hAnsi="Arial" w:cs="Arial"/>
          <w:sz w:val="18"/>
          <w:szCs w:val="18"/>
        </w:rPr>
      </w:pPr>
    </w:p>
    <w:p w14:paraId="6713E1BD"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Las actividades secundarias (minería, manufacturas, construcción y electricidad) fueron el sector con menor crecimiento en los primeros tres meses de este año con apenas 0.4 por ciento que le </w:t>
      </w:r>
      <w:proofErr w:type="spellStart"/>
      <w:r w:rsidRPr="00767B7C">
        <w:rPr>
          <w:rFonts w:ascii="Arial" w:hAnsi="Arial" w:cs="Arial"/>
          <w:sz w:val="18"/>
          <w:szCs w:val="18"/>
        </w:rPr>
        <w:t>dió</w:t>
      </w:r>
      <w:proofErr w:type="spellEnd"/>
      <w:r w:rsidRPr="00767B7C">
        <w:rPr>
          <w:rFonts w:ascii="Arial" w:hAnsi="Arial" w:cs="Arial"/>
          <w:sz w:val="18"/>
          <w:szCs w:val="18"/>
        </w:rPr>
        <w:t xml:space="preserve"> a la entidad la posición 19 respecto al resto del país. En tanto que las actividades de este rubro en Oaxaca (15%), Nayarit (12.6%) y la Ciudad de México (8.9%) tuvieron el mejor comportamiento del periodo.</w:t>
      </w:r>
    </w:p>
    <w:p w14:paraId="00C805C0" w14:textId="77777777" w:rsidR="00767B7C" w:rsidRPr="00767B7C" w:rsidRDefault="00767B7C" w:rsidP="00767B7C">
      <w:pPr>
        <w:tabs>
          <w:tab w:val="left" w:pos="284"/>
        </w:tabs>
        <w:ind w:left="284"/>
        <w:jc w:val="both"/>
        <w:rPr>
          <w:rFonts w:ascii="Arial" w:hAnsi="Arial" w:cs="Arial"/>
          <w:sz w:val="18"/>
          <w:szCs w:val="18"/>
        </w:rPr>
      </w:pPr>
    </w:p>
    <w:p w14:paraId="1491546B" w14:textId="717608F3" w:rsidR="00767B7C" w:rsidRPr="00600180" w:rsidRDefault="00767B7C" w:rsidP="00600180">
      <w:pPr>
        <w:tabs>
          <w:tab w:val="left" w:pos="284"/>
        </w:tabs>
        <w:spacing w:after="0"/>
        <w:ind w:left="284"/>
        <w:jc w:val="center"/>
        <w:rPr>
          <w:rFonts w:ascii="Arial" w:hAnsi="Arial" w:cs="Arial"/>
          <w:b/>
          <w:bCs/>
          <w:sz w:val="18"/>
          <w:szCs w:val="18"/>
        </w:rPr>
      </w:pPr>
      <w:r w:rsidRPr="00600180">
        <w:rPr>
          <w:rFonts w:ascii="Arial" w:hAnsi="Arial" w:cs="Arial"/>
          <w:b/>
          <w:bCs/>
          <w:sz w:val="18"/>
          <w:szCs w:val="18"/>
        </w:rPr>
        <w:lastRenderedPageBreak/>
        <w:t>Variación anual y contribución de las actividades secundarias</w:t>
      </w:r>
    </w:p>
    <w:p w14:paraId="26605328" w14:textId="77777777" w:rsidR="00767B7C" w:rsidRPr="00600180" w:rsidRDefault="00767B7C" w:rsidP="00600180">
      <w:pPr>
        <w:tabs>
          <w:tab w:val="left" w:pos="284"/>
        </w:tabs>
        <w:spacing w:after="0"/>
        <w:ind w:left="284"/>
        <w:jc w:val="center"/>
        <w:rPr>
          <w:rFonts w:ascii="Arial" w:hAnsi="Arial" w:cs="Arial"/>
          <w:b/>
          <w:bCs/>
          <w:sz w:val="18"/>
          <w:szCs w:val="18"/>
        </w:rPr>
      </w:pPr>
      <w:r w:rsidRPr="00600180">
        <w:rPr>
          <w:rFonts w:ascii="Arial" w:hAnsi="Arial" w:cs="Arial"/>
          <w:b/>
          <w:bCs/>
          <w:sz w:val="18"/>
          <w:szCs w:val="18"/>
        </w:rPr>
        <w:t>primer trimestre de 20251/</w:t>
      </w:r>
    </w:p>
    <w:tbl>
      <w:tblPr>
        <w:tblW w:w="4953" w:type="pct"/>
        <w:jc w:val="center"/>
        <w:tblCellMar>
          <w:left w:w="0" w:type="dxa"/>
          <w:right w:w="0" w:type="dxa"/>
        </w:tblCellMar>
        <w:tblLook w:val="04A0" w:firstRow="1" w:lastRow="0" w:firstColumn="1" w:lastColumn="0" w:noHBand="0" w:noVBand="1"/>
      </w:tblPr>
      <w:tblGrid>
        <w:gridCol w:w="4686"/>
        <w:gridCol w:w="155"/>
        <w:gridCol w:w="4431"/>
      </w:tblGrid>
      <w:tr w:rsidR="00767B7C" w:rsidRPr="00600180" w14:paraId="78607729" w14:textId="77777777" w:rsidTr="00600180">
        <w:trPr>
          <w:trHeight w:hRule="exact" w:val="514"/>
          <w:jc w:val="center"/>
        </w:trPr>
        <w:tc>
          <w:tcPr>
            <w:tcW w:w="4058" w:type="dxa"/>
            <w:vAlign w:val="center"/>
          </w:tcPr>
          <w:p w14:paraId="5862F30B" w14:textId="77777777" w:rsidR="00767B7C" w:rsidRPr="00600180" w:rsidRDefault="00767B7C" w:rsidP="00600180">
            <w:pPr>
              <w:tabs>
                <w:tab w:val="left" w:pos="284"/>
              </w:tabs>
              <w:spacing w:after="0"/>
              <w:ind w:left="284"/>
              <w:jc w:val="center"/>
              <w:rPr>
                <w:rFonts w:ascii="Arial" w:hAnsi="Arial" w:cs="Arial"/>
                <w:b/>
                <w:bCs/>
                <w:sz w:val="18"/>
                <w:szCs w:val="18"/>
              </w:rPr>
            </w:pPr>
            <w:r w:rsidRPr="00600180">
              <w:rPr>
                <w:rFonts w:ascii="Arial" w:hAnsi="Arial" w:cs="Arial"/>
                <w:b/>
                <w:bCs/>
                <w:sz w:val="18"/>
                <w:szCs w:val="18"/>
              </w:rPr>
              <w:t xml:space="preserve">Variación porcentual real </w:t>
            </w:r>
            <w:r w:rsidRPr="00600180">
              <w:rPr>
                <w:rFonts w:ascii="Arial" w:hAnsi="Arial" w:cs="Arial"/>
                <w:b/>
                <w:bCs/>
                <w:sz w:val="18"/>
                <w:szCs w:val="18"/>
              </w:rPr>
              <w:br/>
              <w:t>respecto al primer trimestre de 2024</w:t>
            </w:r>
          </w:p>
        </w:tc>
        <w:tc>
          <w:tcPr>
            <w:tcW w:w="144" w:type="dxa"/>
            <w:vAlign w:val="center"/>
          </w:tcPr>
          <w:p w14:paraId="6712D675" w14:textId="77777777" w:rsidR="00767B7C" w:rsidRPr="00600180" w:rsidRDefault="00767B7C" w:rsidP="00600180">
            <w:pPr>
              <w:tabs>
                <w:tab w:val="left" w:pos="284"/>
              </w:tabs>
              <w:spacing w:after="0"/>
              <w:ind w:left="284"/>
              <w:jc w:val="center"/>
              <w:rPr>
                <w:rFonts w:ascii="Arial" w:hAnsi="Arial" w:cs="Arial"/>
                <w:b/>
                <w:bCs/>
                <w:sz w:val="18"/>
                <w:szCs w:val="18"/>
              </w:rPr>
            </w:pPr>
          </w:p>
        </w:tc>
        <w:tc>
          <w:tcPr>
            <w:tcW w:w="3822" w:type="dxa"/>
            <w:vAlign w:val="center"/>
          </w:tcPr>
          <w:p w14:paraId="58BA2669" w14:textId="77777777" w:rsidR="00767B7C" w:rsidRPr="00600180" w:rsidRDefault="00767B7C" w:rsidP="00600180">
            <w:pPr>
              <w:tabs>
                <w:tab w:val="left" w:pos="284"/>
              </w:tabs>
              <w:spacing w:after="0"/>
              <w:ind w:left="284"/>
              <w:jc w:val="center"/>
              <w:rPr>
                <w:rFonts w:ascii="Arial" w:hAnsi="Arial" w:cs="Arial"/>
                <w:b/>
                <w:bCs/>
                <w:sz w:val="18"/>
                <w:szCs w:val="18"/>
              </w:rPr>
            </w:pPr>
            <w:r w:rsidRPr="00600180">
              <w:rPr>
                <w:rFonts w:ascii="Arial" w:hAnsi="Arial" w:cs="Arial"/>
                <w:b/>
                <w:bCs/>
                <w:sz w:val="18"/>
                <w:szCs w:val="18"/>
              </w:rPr>
              <w:t xml:space="preserve">Contribución a la variación total real </w:t>
            </w:r>
            <w:r w:rsidRPr="00600180">
              <w:rPr>
                <w:rFonts w:ascii="Arial" w:hAnsi="Arial" w:cs="Arial"/>
                <w:b/>
                <w:bCs/>
                <w:sz w:val="18"/>
                <w:szCs w:val="18"/>
              </w:rPr>
              <w:br/>
              <w:t>de las actividades secundarias2/</w:t>
            </w:r>
          </w:p>
        </w:tc>
      </w:tr>
      <w:tr w:rsidR="00767B7C" w:rsidRPr="00767B7C" w14:paraId="4A2485AD" w14:textId="77777777" w:rsidTr="007B687B">
        <w:tblPrEx>
          <w:tblCellMar>
            <w:left w:w="70" w:type="dxa"/>
            <w:right w:w="70" w:type="dxa"/>
          </w:tblCellMar>
        </w:tblPrEx>
        <w:trPr>
          <w:trHeight w:val="5568"/>
          <w:jc w:val="center"/>
        </w:trPr>
        <w:tc>
          <w:tcPr>
            <w:tcW w:w="4058" w:type="dxa"/>
            <w:vAlign w:val="center"/>
          </w:tcPr>
          <w:p w14:paraId="27C86B1D" w14:textId="6A327D13"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noProof/>
                <w:sz w:val="18"/>
                <w:szCs w:val="18"/>
              </w:rPr>
              <w:drawing>
                <wp:inline distT="0" distB="0" distL="0" distR="0" wp14:anchorId="2CE6CFFA" wp14:editId="1FE540EB">
                  <wp:extent cx="2526030" cy="4862705"/>
                  <wp:effectExtent l="0" t="0" r="7620" b="14605"/>
                  <wp:docPr id="860631984"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144" w:type="dxa"/>
            <w:vAlign w:val="center"/>
          </w:tcPr>
          <w:p w14:paraId="4EC1FDE4" w14:textId="77777777" w:rsidR="00767B7C" w:rsidRPr="00767B7C" w:rsidRDefault="00767B7C" w:rsidP="00767B7C">
            <w:pPr>
              <w:tabs>
                <w:tab w:val="left" w:pos="284"/>
              </w:tabs>
              <w:ind w:left="284"/>
              <w:jc w:val="both"/>
              <w:rPr>
                <w:rFonts w:ascii="Arial" w:hAnsi="Arial" w:cs="Arial"/>
                <w:sz w:val="18"/>
                <w:szCs w:val="18"/>
              </w:rPr>
            </w:pPr>
          </w:p>
        </w:tc>
        <w:tc>
          <w:tcPr>
            <w:tcW w:w="3822" w:type="dxa"/>
            <w:vAlign w:val="center"/>
          </w:tcPr>
          <w:p w14:paraId="0336032D" w14:textId="4FBA87CC"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noProof/>
                <w:sz w:val="18"/>
                <w:szCs w:val="18"/>
              </w:rPr>
              <w:drawing>
                <wp:inline distT="0" distB="0" distL="0" distR="0" wp14:anchorId="2DC5817D" wp14:editId="706B8D20">
                  <wp:extent cx="2378710" cy="4809850"/>
                  <wp:effectExtent l="0" t="0" r="2540" b="10160"/>
                  <wp:docPr id="883535793"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22677924" w14:textId="77777777" w:rsidR="00767B7C" w:rsidRPr="00600180" w:rsidRDefault="00767B7C" w:rsidP="00600180">
      <w:pPr>
        <w:tabs>
          <w:tab w:val="left" w:pos="284"/>
        </w:tabs>
        <w:spacing w:after="0"/>
        <w:ind w:left="284"/>
        <w:jc w:val="both"/>
        <w:rPr>
          <w:rFonts w:ascii="Arial" w:hAnsi="Arial" w:cs="Arial"/>
          <w:b/>
          <w:bCs/>
          <w:sz w:val="14"/>
          <w:szCs w:val="14"/>
        </w:rPr>
      </w:pPr>
      <w:r w:rsidRPr="00600180">
        <w:rPr>
          <w:rFonts w:ascii="Arial" w:hAnsi="Arial" w:cs="Arial"/>
          <w:b/>
          <w:bCs/>
          <w:sz w:val="14"/>
          <w:szCs w:val="14"/>
        </w:rPr>
        <w:t>1/ Cifras preliminares.</w:t>
      </w:r>
    </w:p>
    <w:p w14:paraId="769F0FA6" w14:textId="77777777" w:rsidR="00767B7C" w:rsidRPr="00600180" w:rsidRDefault="00767B7C" w:rsidP="00600180">
      <w:pPr>
        <w:tabs>
          <w:tab w:val="left" w:pos="284"/>
        </w:tabs>
        <w:spacing w:after="0"/>
        <w:ind w:left="284"/>
        <w:jc w:val="both"/>
        <w:rPr>
          <w:rFonts w:ascii="Arial" w:hAnsi="Arial" w:cs="Arial"/>
          <w:b/>
          <w:bCs/>
          <w:sz w:val="14"/>
          <w:szCs w:val="14"/>
        </w:rPr>
      </w:pPr>
      <w:r w:rsidRPr="00600180">
        <w:rPr>
          <w:rFonts w:ascii="Arial" w:hAnsi="Arial" w:cs="Arial"/>
          <w:b/>
          <w:bCs/>
          <w:sz w:val="14"/>
          <w:szCs w:val="14"/>
        </w:rPr>
        <w:t xml:space="preserve">2/ Las contribuciones se obtienen ponderando las tasas de crecimiento con la participación que cada estado tiene en las actividades secundarias. </w:t>
      </w:r>
    </w:p>
    <w:p w14:paraId="4F284EA3" w14:textId="20CBE54A" w:rsidR="00767B7C" w:rsidRPr="00600180" w:rsidRDefault="00767B7C" w:rsidP="00600180">
      <w:pPr>
        <w:tabs>
          <w:tab w:val="left" w:pos="284"/>
        </w:tabs>
        <w:spacing w:after="0"/>
        <w:ind w:left="284"/>
        <w:jc w:val="both"/>
        <w:rPr>
          <w:rFonts w:ascii="Arial" w:hAnsi="Arial" w:cs="Arial"/>
          <w:b/>
          <w:bCs/>
          <w:sz w:val="14"/>
          <w:szCs w:val="14"/>
        </w:rPr>
      </w:pPr>
      <w:r w:rsidRPr="00600180">
        <w:rPr>
          <w:rFonts w:ascii="Arial" w:hAnsi="Arial" w:cs="Arial"/>
          <w:b/>
          <w:bCs/>
          <w:sz w:val="14"/>
          <w:szCs w:val="14"/>
        </w:rPr>
        <w:t>Fuente:</w:t>
      </w:r>
      <w:r w:rsidR="00600180">
        <w:rPr>
          <w:rFonts w:ascii="Arial" w:hAnsi="Arial" w:cs="Arial"/>
          <w:b/>
          <w:bCs/>
          <w:sz w:val="14"/>
          <w:szCs w:val="14"/>
        </w:rPr>
        <w:t xml:space="preserve"> </w:t>
      </w:r>
      <w:proofErr w:type="spellStart"/>
      <w:r w:rsidRPr="00600180">
        <w:rPr>
          <w:rFonts w:ascii="Arial" w:hAnsi="Arial" w:cs="Arial"/>
          <w:b/>
          <w:bCs/>
          <w:sz w:val="14"/>
          <w:szCs w:val="14"/>
        </w:rPr>
        <w:t>inegi</w:t>
      </w:r>
      <w:proofErr w:type="spellEnd"/>
      <w:r w:rsidRPr="00600180">
        <w:rPr>
          <w:rFonts w:ascii="Arial" w:hAnsi="Arial" w:cs="Arial"/>
          <w:b/>
          <w:bCs/>
          <w:sz w:val="14"/>
          <w:szCs w:val="14"/>
        </w:rPr>
        <w:t>. Sistema de Cuentas Nacionales de México (</w:t>
      </w:r>
      <w:proofErr w:type="spellStart"/>
      <w:r w:rsidRPr="00600180">
        <w:rPr>
          <w:rFonts w:ascii="Arial" w:hAnsi="Arial" w:cs="Arial"/>
          <w:b/>
          <w:bCs/>
          <w:sz w:val="14"/>
          <w:szCs w:val="14"/>
        </w:rPr>
        <w:t>scnm</w:t>
      </w:r>
      <w:proofErr w:type="spellEnd"/>
      <w:r w:rsidRPr="00600180">
        <w:rPr>
          <w:rFonts w:ascii="Arial" w:hAnsi="Arial" w:cs="Arial"/>
          <w:b/>
          <w:bCs/>
          <w:sz w:val="14"/>
          <w:szCs w:val="14"/>
        </w:rPr>
        <w:t>). Indicador Trimestral de la Actividad Económica Estatal (</w:t>
      </w:r>
      <w:proofErr w:type="spellStart"/>
      <w:r w:rsidRPr="00600180">
        <w:rPr>
          <w:rFonts w:ascii="Arial" w:hAnsi="Arial" w:cs="Arial"/>
          <w:b/>
          <w:bCs/>
          <w:sz w:val="14"/>
          <w:szCs w:val="14"/>
        </w:rPr>
        <w:t>itaee</w:t>
      </w:r>
      <w:proofErr w:type="spellEnd"/>
      <w:r w:rsidRPr="00600180">
        <w:rPr>
          <w:rFonts w:ascii="Arial" w:hAnsi="Arial" w:cs="Arial"/>
          <w:b/>
          <w:bCs/>
          <w:sz w:val="14"/>
          <w:szCs w:val="14"/>
        </w:rPr>
        <w:t>), 2025.</w:t>
      </w:r>
    </w:p>
    <w:p w14:paraId="28A0FE2E" w14:textId="77777777" w:rsidR="00600180" w:rsidRDefault="00600180" w:rsidP="00767B7C">
      <w:pPr>
        <w:tabs>
          <w:tab w:val="left" w:pos="284"/>
        </w:tabs>
        <w:ind w:left="284"/>
        <w:jc w:val="both"/>
        <w:rPr>
          <w:rFonts w:ascii="Arial" w:hAnsi="Arial" w:cs="Arial"/>
          <w:sz w:val="18"/>
          <w:szCs w:val="18"/>
        </w:rPr>
      </w:pPr>
    </w:p>
    <w:p w14:paraId="585D9C74" w14:textId="38F84CA4"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Tlaxcala -junto a Guerrero, Hidalgo, Michoacán, </w:t>
      </w:r>
      <w:proofErr w:type="spellStart"/>
      <w:r w:rsidRPr="00767B7C">
        <w:rPr>
          <w:rFonts w:ascii="Arial" w:hAnsi="Arial" w:cs="Arial"/>
          <w:sz w:val="18"/>
          <w:szCs w:val="18"/>
        </w:rPr>
        <w:t>Morelo</w:t>
      </w:r>
      <w:proofErr w:type="spellEnd"/>
      <w:r w:rsidRPr="00767B7C">
        <w:rPr>
          <w:rFonts w:ascii="Arial" w:hAnsi="Arial" w:cs="Arial"/>
          <w:sz w:val="18"/>
          <w:szCs w:val="18"/>
        </w:rPr>
        <w:t>, Puebla y Querétaro- forma parte de la región centro sur del país que en el mismo periodo registró un incremento de 1.4 por ciento en su actividad económica; principalmente impulsado por el sector primario con 4.7 por ciento de crecimiento, seguido de las actividades terciarias que tuvieron 2.1 por ciento más actividad económica; pero el sector secundario perdió 0.6 por ciento de su actividad.</w:t>
      </w:r>
    </w:p>
    <w:p w14:paraId="5586E3BD"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La actividad económica de la región centro-sur representó 13.3 por ciento del total de las actividades en México. El primer lugar lo obtuvo el norte con 28.2 por ciento, le siguió la región centro con 24.4 por ciento, la región centro norte con 19 por ciento, y la región sur-sureste con 15.1 por ciento.</w:t>
      </w:r>
    </w:p>
    <w:p w14:paraId="32AB6E2D"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El aporte de Tlaxcala para la región fue de 0.05 por ciento que le </w:t>
      </w:r>
      <w:proofErr w:type="spellStart"/>
      <w:r w:rsidRPr="00767B7C">
        <w:rPr>
          <w:rFonts w:ascii="Arial" w:hAnsi="Arial" w:cs="Arial"/>
          <w:sz w:val="18"/>
          <w:szCs w:val="18"/>
        </w:rPr>
        <w:t>dió</w:t>
      </w:r>
      <w:proofErr w:type="spellEnd"/>
      <w:r w:rsidRPr="00767B7C">
        <w:rPr>
          <w:rFonts w:ascii="Arial" w:hAnsi="Arial" w:cs="Arial"/>
          <w:sz w:val="18"/>
          <w:szCs w:val="18"/>
        </w:rPr>
        <w:t xml:space="preserve"> la posición seis de las siete entidades que la conforman. En este caso, Guerrero fue la entidad con mayor aporte al registrar 0.65 por ciento, y por el contrario Puebla mostró una pérdida de 0.04 por ciento.</w:t>
      </w:r>
    </w:p>
    <w:p w14:paraId="75AE8BB6" w14:textId="77777777" w:rsidR="00767B7C" w:rsidRPr="00767B7C" w:rsidRDefault="00767B7C" w:rsidP="00767B7C">
      <w:pPr>
        <w:tabs>
          <w:tab w:val="left" w:pos="284"/>
        </w:tabs>
        <w:ind w:left="284"/>
        <w:jc w:val="both"/>
        <w:rPr>
          <w:rFonts w:ascii="Arial" w:hAnsi="Arial" w:cs="Arial"/>
          <w:sz w:val="18"/>
          <w:szCs w:val="18"/>
        </w:rPr>
      </w:pPr>
    </w:p>
    <w:p w14:paraId="4432BD61"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lastRenderedPageBreak/>
        <w:t xml:space="preserve">Se estima que la Entidad siga registrando márgenes operativos positivos en 2026, pero menores a los observados en 2025 y años previos. Las asignaciones en el PPEF 2026 para los gobiernos locales, que se integran por participaciones, aportaciones y otros conceptos, sumarán 2,810.8 </w:t>
      </w:r>
      <w:proofErr w:type="spellStart"/>
      <w:r w:rsidRPr="00767B7C">
        <w:rPr>
          <w:rFonts w:ascii="Arial" w:hAnsi="Arial" w:cs="Arial"/>
          <w:sz w:val="18"/>
          <w:szCs w:val="18"/>
        </w:rPr>
        <w:t>mmp</w:t>
      </w:r>
      <w:proofErr w:type="spellEnd"/>
      <w:r w:rsidRPr="00767B7C">
        <w:rPr>
          <w:rFonts w:ascii="Arial" w:hAnsi="Arial" w:cs="Arial"/>
          <w:sz w:val="18"/>
          <w:szCs w:val="18"/>
        </w:rPr>
        <w:t>, 3.0% más en términos reales que en el aprobado de 2025.</w:t>
      </w:r>
    </w:p>
    <w:p w14:paraId="06680BB9"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La política fiscal que el Gobierno del Estado implementará en el ejercicio 2026, tendrá como finalidad mantener un balance presupuestario positivo, procurando que las fuentes de ingreso financien el gasto del ejercicio, por lo que se espera que se sigan registrando márgenes operativos positivos al cierre de 2025 y en 2026, pero menores a los registrados en ejercicios anteriores. Los resultados financieros balanceados y la política de deuda conservadora, han permitido que desde el ejercicio 2008 el Estado de Tlaxcala haya registrado una posición libre de endeudamiento.</w:t>
      </w:r>
    </w:p>
    <w:p w14:paraId="031E87BD"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Con la finalidad de controlar el crecimiento del gasto se establecieron topes a ciertos rubros del gasto, mediante el Acuerdo que Establece los Lineamientos y Políticas Generales del Ejercicio del Presupuesto, las Medidas de Mejora y Modernización, así como de Austeridad del Gasto Público de la Gestión Administrativa, limitando el crecimiento del presupuesto.</w:t>
      </w:r>
    </w:p>
    <w:p w14:paraId="42839FCA"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Se estima que para 2026, los ingresos propios se mantengan en niveles similares a los de 2025, en línea con las previsiones efectuadas por el Gobierno Federal, considerando que los recursos destinados a las entidades federativas por participaciones, al primer semestre de 2025 corresponde a 632,369.1 millones de pesos, lo que representa un crecimiento del 3.6% con respecto a lo programado.</w:t>
      </w:r>
    </w:p>
    <w:p w14:paraId="68030BA5"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La liquidez del Estado de Tlaxcala es un factor que permite enfrentar choques externos imprevistos, por lo que se espera que el efectivo del Estado cubra al menos el 0.6% de los pasivos promedio para 2025 y 2026, como resultado del buen manejo del presupuesto.</w:t>
      </w:r>
    </w:p>
    <w:p w14:paraId="2A902F8B"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El comportamiento de los ingresos derivados de fuentes locales en los últimos 5 años, ha presentado un comportamiento creciente, derivado de las acciones implementadas, enfocadas a la simplificación administrativa y a la mejora en la prestación de servicios a la ciudadanía; sin embargo, durante el ejercicio 2020 esta estabilidad se vio afectada por los efectos de la pandemia ocasionada por el COVID-19.</w:t>
      </w:r>
    </w:p>
    <w:p w14:paraId="6525F102"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Ante un panorama económico que puede presentar riesgos en el corto y en el mediano plazo, esta administración no prevé la creación de nuevos impuestos ni el incremento de los ya vigentes, por lo que será una tarea fundamental </w:t>
      </w:r>
      <w:proofErr w:type="spellStart"/>
      <w:r w:rsidRPr="00767B7C">
        <w:rPr>
          <w:rFonts w:ascii="Arial" w:hAnsi="Arial" w:cs="Arial"/>
          <w:sz w:val="18"/>
          <w:szCs w:val="18"/>
        </w:rPr>
        <w:t>eficientar</w:t>
      </w:r>
      <w:proofErr w:type="spellEnd"/>
      <w:r w:rsidRPr="00767B7C">
        <w:rPr>
          <w:rFonts w:ascii="Arial" w:hAnsi="Arial" w:cs="Arial"/>
          <w:sz w:val="18"/>
          <w:szCs w:val="18"/>
        </w:rPr>
        <w:t xml:space="preserve"> la administración y recaudación de las diferentes fuentes de ingresos, mediante una política fiscal que favorezca el financiamiento del gasto público. En materia de incentivos fiscales estatales, se proponen políticas que fomentan la creación de nuevos empleos y la integración de cadenas productivas, que propicien el desarrollo de los sectores económicos del Estado.</w:t>
      </w:r>
    </w:p>
    <w:p w14:paraId="20A34392"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La atención de los derechos de las niñas, niños y adolescentes de 0 a 5 años y adolescentes hasta los 18 años es fundamental, por lo que el Gobierno del Estado considera prioritaria una estrategia de inclusión social con perspectiva de género, para lo cual se han emprendido acciones que permiten identificar plenamente los recursos que son ejercidos en estos rubros por las diferentes Dependencias del Estado, previniendo rezagos y desigualdades, incorporando estrategias de desarrollo con perspectiva de género al interior de éstas.</w:t>
      </w:r>
    </w:p>
    <w:p w14:paraId="43623E2B"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Al mes de </w:t>
      </w:r>
      <w:proofErr w:type="gramStart"/>
      <w:r w:rsidRPr="00767B7C">
        <w:rPr>
          <w:rFonts w:ascii="Arial" w:hAnsi="Arial" w:cs="Arial"/>
          <w:sz w:val="18"/>
          <w:szCs w:val="18"/>
        </w:rPr>
        <w:t>Agosto</w:t>
      </w:r>
      <w:proofErr w:type="gramEnd"/>
      <w:r w:rsidRPr="00767B7C">
        <w:rPr>
          <w:rFonts w:ascii="Arial" w:hAnsi="Arial" w:cs="Arial"/>
          <w:sz w:val="18"/>
          <w:szCs w:val="18"/>
        </w:rPr>
        <w:t xml:space="preserve"> de 2025 la tasa de ocupación reflejó una participación del 1% al total nacional, presentando un incremento de 563 puestos de trabajo permanentes respecto a diciembre de 2024. Al mes de agosto de 2025, se tienen registrados 116,849 trabajadores asegurados en el IMSS, tal y como se muestra en los cuadros siguientes:</w:t>
      </w:r>
    </w:p>
    <w:p w14:paraId="2AF7E219" w14:textId="77777777" w:rsidR="00767B7C" w:rsidRDefault="00767B7C" w:rsidP="00767B7C">
      <w:pPr>
        <w:tabs>
          <w:tab w:val="left" w:pos="284"/>
        </w:tabs>
        <w:ind w:left="284"/>
        <w:jc w:val="both"/>
        <w:rPr>
          <w:rFonts w:ascii="Arial" w:hAnsi="Arial" w:cs="Arial"/>
          <w:sz w:val="18"/>
          <w:szCs w:val="18"/>
        </w:rPr>
      </w:pPr>
    </w:p>
    <w:p w14:paraId="443D6780" w14:textId="77777777" w:rsidR="00260513" w:rsidRDefault="00260513" w:rsidP="00767B7C">
      <w:pPr>
        <w:tabs>
          <w:tab w:val="left" w:pos="284"/>
        </w:tabs>
        <w:ind w:left="284"/>
        <w:jc w:val="both"/>
        <w:rPr>
          <w:rFonts w:ascii="Arial" w:hAnsi="Arial" w:cs="Arial"/>
          <w:sz w:val="18"/>
          <w:szCs w:val="18"/>
        </w:rPr>
      </w:pPr>
    </w:p>
    <w:p w14:paraId="7681810E" w14:textId="77777777" w:rsidR="00260513" w:rsidRDefault="00260513" w:rsidP="00767B7C">
      <w:pPr>
        <w:tabs>
          <w:tab w:val="left" w:pos="284"/>
        </w:tabs>
        <w:ind w:left="284"/>
        <w:jc w:val="both"/>
        <w:rPr>
          <w:rFonts w:ascii="Arial" w:hAnsi="Arial" w:cs="Arial"/>
          <w:sz w:val="18"/>
          <w:szCs w:val="18"/>
        </w:rPr>
      </w:pPr>
    </w:p>
    <w:p w14:paraId="11A5FB0C" w14:textId="77777777" w:rsidR="00260513" w:rsidRDefault="00260513" w:rsidP="00767B7C">
      <w:pPr>
        <w:tabs>
          <w:tab w:val="left" w:pos="284"/>
        </w:tabs>
        <w:ind w:left="284"/>
        <w:jc w:val="both"/>
        <w:rPr>
          <w:rFonts w:ascii="Arial" w:hAnsi="Arial" w:cs="Arial"/>
          <w:sz w:val="18"/>
          <w:szCs w:val="18"/>
        </w:rPr>
      </w:pPr>
    </w:p>
    <w:p w14:paraId="42536940" w14:textId="77777777" w:rsidR="00260513" w:rsidRDefault="00260513" w:rsidP="00767B7C">
      <w:pPr>
        <w:tabs>
          <w:tab w:val="left" w:pos="284"/>
        </w:tabs>
        <w:ind w:left="284"/>
        <w:jc w:val="both"/>
        <w:rPr>
          <w:rFonts w:ascii="Arial" w:hAnsi="Arial" w:cs="Arial"/>
          <w:sz w:val="18"/>
          <w:szCs w:val="18"/>
        </w:rPr>
      </w:pPr>
    </w:p>
    <w:p w14:paraId="4378FF20" w14:textId="77777777" w:rsidR="00260513" w:rsidRDefault="00260513" w:rsidP="00767B7C">
      <w:pPr>
        <w:tabs>
          <w:tab w:val="left" w:pos="284"/>
        </w:tabs>
        <w:ind w:left="284"/>
        <w:jc w:val="both"/>
        <w:rPr>
          <w:rFonts w:ascii="Arial" w:hAnsi="Arial" w:cs="Arial"/>
          <w:sz w:val="18"/>
          <w:szCs w:val="18"/>
        </w:rPr>
      </w:pPr>
    </w:p>
    <w:p w14:paraId="1F31A46E" w14:textId="77777777" w:rsidR="00260513" w:rsidRPr="00767B7C" w:rsidRDefault="00260513" w:rsidP="00767B7C">
      <w:pPr>
        <w:tabs>
          <w:tab w:val="left" w:pos="284"/>
        </w:tabs>
        <w:ind w:left="284"/>
        <w:jc w:val="both"/>
        <w:rPr>
          <w:rFonts w:ascii="Arial" w:hAnsi="Arial" w:cs="Arial"/>
          <w:sz w:val="18"/>
          <w:szCs w:val="18"/>
        </w:rPr>
      </w:pPr>
    </w:p>
    <w:p w14:paraId="02A990D5" w14:textId="5B6E49A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noProof/>
          <w:sz w:val="18"/>
          <w:szCs w:val="18"/>
        </w:rPr>
        <w:drawing>
          <wp:inline distT="0" distB="0" distL="0" distR="0" wp14:anchorId="0D055FD2" wp14:editId="151B829C">
            <wp:extent cx="5943600" cy="4543425"/>
            <wp:effectExtent l="0" t="0" r="0" b="9525"/>
            <wp:docPr id="103008503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l="23593" t="23218" r="25172" b="7253"/>
                    <a:stretch>
                      <a:fillRect/>
                    </a:stretch>
                  </pic:blipFill>
                  <pic:spPr bwMode="auto">
                    <a:xfrm>
                      <a:off x="0" y="0"/>
                      <a:ext cx="5943600" cy="4543425"/>
                    </a:xfrm>
                    <a:prstGeom prst="rect">
                      <a:avLst/>
                    </a:prstGeom>
                    <a:noFill/>
                    <a:ln>
                      <a:noFill/>
                    </a:ln>
                  </pic:spPr>
                </pic:pic>
              </a:graphicData>
            </a:graphic>
          </wp:inline>
        </w:drawing>
      </w:r>
    </w:p>
    <w:p w14:paraId="3E25F440"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De acuerdo al Directorio Estadístico Nacional de Unidades Económicas, Tlaxcala cuenta con 98,711 Unidades Económicas al mes de septiembre de 2025, lo que representa una participación del 1.6% del Estado en el total nacional. Al segundo trimestre de 2025 la Población Económicamente Activa (PEA) ascendió a 703,274 personas, representando el 61% de la población en edad de trabajar. Del total de la PEA, el 98% está ocupada y el 2% se encuentra desocupada.</w:t>
      </w:r>
    </w:p>
    <w:p w14:paraId="51180FEC" w14:textId="77777777" w:rsidR="00767B7C" w:rsidRPr="00767B7C" w:rsidRDefault="00767B7C" w:rsidP="00767B7C">
      <w:pPr>
        <w:tabs>
          <w:tab w:val="left" w:pos="284"/>
        </w:tabs>
        <w:ind w:left="284"/>
        <w:jc w:val="both"/>
        <w:rPr>
          <w:rFonts w:ascii="Arial" w:hAnsi="Arial" w:cs="Arial"/>
          <w:sz w:val="18"/>
          <w:szCs w:val="18"/>
        </w:rPr>
      </w:pPr>
    </w:p>
    <w:p w14:paraId="2327A4F5" w14:textId="5D3276B9"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noProof/>
          <w:sz w:val="18"/>
          <w:szCs w:val="18"/>
        </w:rPr>
        <w:lastRenderedPageBreak/>
        <w:drawing>
          <wp:inline distT="0" distB="0" distL="0" distR="0" wp14:anchorId="2239B2BD" wp14:editId="24654C72">
            <wp:extent cx="5943600" cy="4132580"/>
            <wp:effectExtent l="0" t="0" r="0" b="1270"/>
            <wp:docPr id="133916825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22755" t="24416" r="23895" b="5766"/>
                    <a:stretch>
                      <a:fillRect/>
                    </a:stretch>
                  </pic:blipFill>
                  <pic:spPr bwMode="auto">
                    <a:xfrm>
                      <a:off x="0" y="0"/>
                      <a:ext cx="5943600" cy="4132580"/>
                    </a:xfrm>
                    <a:prstGeom prst="rect">
                      <a:avLst/>
                    </a:prstGeom>
                    <a:noFill/>
                    <a:ln>
                      <a:noFill/>
                    </a:ln>
                  </pic:spPr>
                </pic:pic>
              </a:graphicData>
            </a:graphic>
          </wp:inline>
        </w:drawing>
      </w:r>
    </w:p>
    <w:p w14:paraId="42F004C6"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Los Objetivos de Desarrollo Sostenible (ODS), constituyen un llamado universal a la acción, para poner fin a la pobreza, proteger el planeta y mejorar la vida y la perspectiva de las personas en todo el mundo. El plan para alcanzar los objetivos planteados en el documento, es de 15 años. La ONU considera que se está progresando en muchos lugares, pero en general, las medidas encaminadas a lograr los propósitos todavía no avanzan a la velocidad, ni escalas necesarias. </w:t>
      </w:r>
    </w:p>
    <w:p w14:paraId="0703E944"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El año 2020 marcó el inicio de una década de acción ambiciosa a fin de alcanzar los objetivos para el 2030, por lo que en nuestro Estado consciente de la necesidad de integración en un entorno globalizado y observando los compromisos internacionales que nuestro país asumió en materia de desarrollo humano, cuidado del ambiente y responsabilidad con el planeta, hemos buscado insertar los productos tlaxcaltecas en los mercados nacional e internacional identificando las oportunidades de una economía globalizada y aprovecharlas, dado que se presentan mayores complejidades.</w:t>
      </w:r>
    </w:p>
    <w:p w14:paraId="174D391D"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En lo que se refiere a Inversión Extranjera Directa (IED), Tlaxcala también ha tenido un desempeño notable. En 2024, el Estado captó 94.2 millones de dólares, lo que refleja la confianza de los inversionistas en el potencial económico de la Entidad. Esta inversión proviene de una variedad de países, entre los que destacan Alemania, España y Estados Unidos, así como Argentina, Australia, Bélgica, Brasil, India, Japón, Países Bajos, Reino Unido y Suecia. La participación de diversos inversionistas contribuye a la generación de empleos, al aumento del desarrollo local y a la captación de divisas que refuerzan la actividad económica de Tlaxcala.</w:t>
      </w:r>
    </w:p>
    <w:p w14:paraId="50BCDF3B"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Al primer trimestre de 2025, la Inversión Extranjera Directa Acumulada del año 2006 al mes de marzo de 2025 en el Estado de Tlaxcala fue de 3,342 millones de dólares, lo que representó un aporte del 0.54% al total nacional, tal y como se observa en el cuadro comparativo siguiente:</w:t>
      </w:r>
    </w:p>
    <w:p w14:paraId="78CCC009" w14:textId="77777777" w:rsidR="00767B7C" w:rsidRDefault="00767B7C" w:rsidP="00767B7C">
      <w:pPr>
        <w:tabs>
          <w:tab w:val="left" w:pos="284"/>
        </w:tabs>
        <w:ind w:left="284"/>
        <w:jc w:val="both"/>
        <w:rPr>
          <w:rFonts w:ascii="Arial" w:hAnsi="Arial" w:cs="Arial"/>
          <w:sz w:val="18"/>
          <w:szCs w:val="18"/>
        </w:rPr>
      </w:pPr>
    </w:p>
    <w:p w14:paraId="4B65FE59" w14:textId="59739A98" w:rsidR="00260513" w:rsidRDefault="00260513" w:rsidP="00767B7C">
      <w:pPr>
        <w:tabs>
          <w:tab w:val="left" w:pos="284"/>
        </w:tabs>
        <w:ind w:left="284"/>
        <w:jc w:val="both"/>
        <w:rPr>
          <w:rFonts w:ascii="Arial" w:hAnsi="Arial" w:cs="Arial"/>
          <w:sz w:val="18"/>
          <w:szCs w:val="18"/>
        </w:rPr>
      </w:pPr>
    </w:p>
    <w:p w14:paraId="3C288EF1" w14:textId="77777777" w:rsidR="00260513" w:rsidRDefault="00260513" w:rsidP="00767B7C">
      <w:pPr>
        <w:tabs>
          <w:tab w:val="left" w:pos="284"/>
        </w:tabs>
        <w:ind w:left="284"/>
        <w:jc w:val="both"/>
        <w:rPr>
          <w:rFonts w:ascii="Arial" w:hAnsi="Arial" w:cs="Arial"/>
          <w:sz w:val="18"/>
          <w:szCs w:val="18"/>
        </w:rPr>
      </w:pPr>
    </w:p>
    <w:p w14:paraId="5B91114A" w14:textId="77777777" w:rsidR="00260513" w:rsidRPr="00767B7C" w:rsidRDefault="00260513" w:rsidP="00767B7C">
      <w:pPr>
        <w:tabs>
          <w:tab w:val="left" w:pos="284"/>
        </w:tabs>
        <w:ind w:left="284"/>
        <w:jc w:val="both"/>
        <w:rPr>
          <w:rFonts w:ascii="Arial" w:hAnsi="Arial" w:cs="Arial"/>
          <w:sz w:val="18"/>
          <w:szCs w:val="18"/>
        </w:rPr>
      </w:pPr>
    </w:p>
    <w:p w14:paraId="61EFFECC" w14:textId="2719ECF2"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noProof/>
          <w:sz w:val="18"/>
          <w:szCs w:val="18"/>
        </w:rPr>
        <w:drawing>
          <wp:inline distT="0" distB="0" distL="0" distR="0" wp14:anchorId="1A8AC006" wp14:editId="21431F71">
            <wp:extent cx="5943600" cy="4331335"/>
            <wp:effectExtent l="0" t="0" r="0" b="0"/>
            <wp:docPr id="152642043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331335"/>
                    </a:xfrm>
                    <a:prstGeom prst="rect">
                      <a:avLst/>
                    </a:prstGeom>
                    <a:noFill/>
                    <a:ln>
                      <a:noFill/>
                    </a:ln>
                  </pic:spPr>
                </pic:pic>
              </a:graphicData>
            </a:graphic>
          </wp:inline>
        </w:drawing>
      </w:r>
    </w:p>
    <w:p w14:paraId="4F0EB6BE"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 xml:space="preserve">El ejercicio del gasto público es un elemento fundamental por lo que, la eficacia y la eficiencia en su ejercicio contribuirá a la identificación de posibles casos de corrupción. El Instituto Mexicano para la Competitividad A.C. elaboró el Índice de Información Presupuestal Estatal (IIPE); actual Barómetro de Información Presupuestal Estatal (BIPE), que evalúa la calidad del reporte de la información presupuestal de las 32 Entidades Federativas. </w:t>
      </w:r>
    </w:p>
    <w:p w14:paraId="56A624AB"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La economía del Estado es débil en relación con otras Entidades Federativas, lo que limita su capacidad de generación de ingresos de la base fiscal regional; se espera que las actividades productivas del Estado se desarrollen a la par de las nacionales durante el transcurso del ejercicio 2025. La evolución de las finanzas públicas del Estado obedece a la dinámica recaudatoria de los ingresos estatales totales y de las transferencias federales, las que a su vez son determinados por el comportamiento de la Recaudación Federal Participable (RFP); representando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14:paraId="3D0249B4"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En función de los factores antes mencionados, las perspectivas económicas locales en el corto plazo son moderadamente favorables, por lo que el manejo del gasto es un factor fundamental en el quehacer gubernamental, lo cual redundará en mejores condiciones económicas para el Estado y los Municipios en el mediano plazo.</w:t>
      </w:r>
    </w:p>
    <w:p w14:paraId="6FB7DF4B" w14:textId="77777777" w:rsidR="00767B7C" w:rsidRPr="00767B7C" w:rsidRDefault="00767B7C" w:rsidP="00767B7C">
      <w:pPr>
        <w:tabs>
          <w:tab w:val="left" w:pos="284"/>
        </w:tabs>
        <w:ind w:left="284"/>
        <w:jc w:val="both"/>
        <w:rPr>
          <w:rFonts w:ascii="Arial" w:hAnsi="Arial" w:cs="Arial"/>
          <w:sz w:val="18"/>
          <w:szCs w:val="18"/>
        </w:rPr>
      </w:pPr>
      <w:r w:rsidRPr="00767B7C">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14:paraId="420E8FE9" w14:textId="77777777" w:rsidR="008C10B0" w:rsidRDefault="008C10B0" w:rsidP="008C10B0">
      <w:pPr>
        <w:pStyle w:val="Texto"/>
        <w:numPr>
          <w:ilvl w:val="0"/>
          <w:numId w:val="6"/>
        </w:numPr>
        <w:tabs>
          <w:tab w:val="left" w:pos="284"/>
        </w:tabs>
        <w:spacing w:after="0" w:line="276" w:lineRule="auto"/>
        <w:rPr>
          <w:b/>
          <w:szCs w:val="18"/>
          <w:lang w:val="es-MX"/>
        </w:rPr>
      </w:pPr>
      <w:r>
        <w:rPr>
          <w:b/>
          <w:szCs w:val="18"/>
          <w:lang w:val="es-MX"/>
        </w:rPr>
        <w:lastRenderedPageBreak/>
        <w:t>Organización y Objeto Social</w:t>
      </w:r>
    </w:p>
    <w:p w14:paraId="43B3A6D9"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14:paraId="5E14BE6D"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El Gobierno del Estado, a través de la Secretaría de Finanzas es la dependencia encargada de la administración de la Hacienda Pública; entre muchas de sus labores,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14:paraId="5CDA5581" w14:textId="77777777" w:rsidR="008C10B0" w:rsidRDefault="008C10B0" w:rsidP="008C10B0">
      <w:pPr>
        <w:pStyle w:val="Texto"/>
        <w:numPr>
          <w:ilvl w:val="0"/>
          <w:numId w:val="6"/>
        </w:numPr>
        <w:tabs>
          <w:tab w:val="left" w:pos="284"/>
        </w:tabs>
        <w:spacing w:after="0" w:line="276" w:lineRule="auto"/>
        <w:rPr>
          <w:b/>
          <w:szCs w:val="18"/>
          <w:lang w:val="es-MX"/>
        </w:rPr>
      </w:pPr>
      <w:r>
        <w:rPr>
          <w:b/>
          <w:szCs w:val="18"/>
          <w:lang w:val="es-MX"/>
        </w:rPr>
        <w:t>Bases de Preparación de los Estados Financieros</w:t>
      </w:r>
    </w:p>
    <w:p w14:paraId="3F0F2402"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14:paraId="42E53B04"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del CONAC.</w:t>
      </w:r>
    </w:p>
    <w:p w14:paraId="6F15DD92"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14:paraId="34E21111"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14:paraId="595042ED" w14:textId="77777777" w:rsidR="00260513" w:rsidRDefault="00260513" w:rsidP="008C10B0">
      <w:pPr>
        <w:tabs>
          <w:tab w:val="left" w:pos="284"/>
        </w:tabs>
        <w:ind w:left="284"/>
        <w:jc w:val="both"/>
        <w:rPr>
          <w:rFonts w:ascii="Arial" w:hAnsi="Arial" w:cs="Arial"/>
          <w:sz w:val="18"/>
          <w:szCs w:val="18"/>
        </w:rPr>
      </w:pPr>
    </w:p>
    <w:p w14:paraId="5FB589B9" w14:textId="77777777" w:rsidR="008C10B0" w:rsidRPr="00FB4A59" w:rsidRDefault="008C10B0" w:rsidP="008C10B0">
      <w:pPr>
        <w:pStyle w:val="Texto"/>
        <w:numPr>
          <w:ilvl w:val="0"/>
          <w:numId w:val="6"/>
        </w:numPr>
        <w:tabs>
          <w:tab w:val="left" w:pos="284"/>
        </w:tabs>
        <w:spacing w:after="0" w:line="276" w:lineRule="auto"/>
        <w:rPr>
          <w:b/>
          <w:szCs w:val="18"/>
          <w:lang w:val="es-MX"/>
        </w:rPr>
      </w:pPr>
      <w:r w:rsidRPr="00FB4A59">
        <w:rPr>
          <w:b/>
          <w:szCs w:val="18"/>
          <w:lang w:val="es-MX"/>
        </w:rPr>
        <w:lastRenderedPageBreak/>
        <w:t>Políticas de Contabilidad Significativas</w:t>
      </w:r>
    </w:p>
    <w:p w14:paraId="52716229"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14:paraId="2F9B974F" w14:textId="332BFA74" w:rsidR="008C10B0" w:rsidRDefault="008C10B0" w:rsidP="008C10B0">
      <w:pPr>
        <w:tabs>
          <w:tab w:val="left" w:pos="284"/>
        </w:tabs>
        <w:ind w:left="284"/>
        <w:jc w:val="both"/>
        <w:rPr>
          <w:rFonts w:ascii="Arial" w:hAnsi="Arial" w:cs="Arial"/>
          <w:sz w:val="18"/>
          <w:szCs w:val="18"/>
        </w:rPr>
      </w:pPr>
      <w:r>
        <w:rPr>
          <w:rFonts w:ascii="Arial" w:hAnsi="Arial" w:cs="Arial"/>
          <w:sz w:val="18"/>
          <w:szCs w:val="18"/>
        </w:rPr>
        <w:t>Los registros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r w:rsidR="002D48B0">
        <w:rPr>
          <w:rFonts w:ascii="Arial" w:hAnsi="Arial" w:cs="Arial"/>
          <w:sz w:val="18"/>
          <w:szCs w:val="18"/>
        </w:rPr>
        <w:t xml:space="preserve"> </w:t>
      </w:r>
      <w:r>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r w:rsidR="002D48B0">
        <w:rPr>
          <w:rFonts w:ascii="Arial" w:hAnsi="Arial" w:cs="Arial"/>
          <w:sz w:val="18"/>
          <w:szCs w:val="18"/>
        </w:rPr>
        <w:t xml:space="preserve"> </w:t>
      </w:r>
      <w:r>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r w:rsidR="002D48B0">
        <w:rPr>
          <w:rFonts w:ascii="Arial" w:hAnsi="Arial" w:cs="Arial"/>
          <w:sz w:val="18"/>
          <w:szCs w:val="18"/>
        </w:rPr>
        <w:t xml:space="preserve"> </w:t>
      </w:r>
      <w:r>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p>
    <w:p w14:paraId="7F08907B" w14:textId="77777777" w:rsidR="008C10B0" w:rsidRPr="003A3004" w:rsidRDefault="008C10B0" w:rsidP="008C10B0">
      <w:pPr>
        <w:pStyle w:val="Prrafodelista"/>
        <w:numPr>
          <w:ilvl w:val="0"/>
          <w:numId w:val="6"/>
        </w:numPr>
        <w:tabs>
          <w:tab w:val="left" w:pos="284"/>
        </w:tabs>
        <w:jc w:val="both"/>
        <w:rPr>
          <w:rFonts w:ascii="Arial" w:eastAsia="Times New Roman" w:hAnsi="Arial" w:cs="Arial"/>
          <w:b/>
          <w:sz w:val="18"/>
          <w:szCs w:val="18"/>
          <w:lang w:eastAsia="es-ES"/>
        </w:rPr>
      </w:pPr>
      <w:r w:rsidRPr="003A3004">
        <w:rPr>
          <w:rFonts w:ascii="Arial" w:eastAsia="Times New Roman" w:hAnsi="Arial" w:cs="Arial"/>
          <w:b/>
          <w:sz w:val="18"/>
          <w:szCs w:val="18"/>
          <w:lang w:eastAsia="es-ES"/>
        </w:rPr>
        <w:t>Posición en Moneda Extranjera y Protección por Riesgo Cambiario</w:t>
      </w:r>
    </w:p>
    <w:p w14:paraId="069BB646" w14:textId="088C42D9" w:rsidR="008C10B0" w:rsidRPr="00C733C0" w:rsidRDefault="008C10B0" w:rsidP="008C10B0">
      <w:pPr>
        <w:tabs>
          <w:tab w:val="left" w:pos="284"/>
        </w:tabs>
        <w:ind w:left="288"/>
        <w:jc w:val="both"/>
        <w:rPr>
          <w:rFonts w:ascii="Arial" w:hAnsi="Arial" w:cs="Arial"/>
          <w:sz w:val="18"/>
          <w:szCs w:val="18"/>
        </w:rPr>
      </w:pPr>
      <w:r w:rsidRPr="00C733C0">
        <w:rPr>
          <w:rFonts w:ascii="Arial" w:hAnsi="Arial" w:cs="Arial"/>
          <w:sz w:val="18"/>
          <w:szCs w:val="18"/>
        </w:rPr>
        <w:t xml:space="preserve">Se informa que al </w:t>
      </w:r>
      <w:r w:rsidR="008736CF">
        <w:rPr>
          <w:rFonts w:ascii="Arial" w:hAnsi="Arial" w:cs="Arial"/>
          <w:sz w:val="18"/>
          <w:szCs w:val="18"/>
        </w:rPr>
        <w:t>3</w:t>
      </w:r>
      <w:r w:rsidR="00260513">
        <w:rPr>
          <w:rFonts w:ascii="Arial" w:hAnsi="Arial" w:cs="Arial"/>
          <w:sz w:val="18"/>
          <w:szCs w:val="18"/>
        </w:rPr>
        <w:t>0</w:t>
      </w:r>
      <w:r w:rsidR="008736CF">
        <w:rPr>
          <w:rFonts w:ascii="Arial" w:hAnsi="Arial" w:cs="Arial"/>
          <w:sz w:val="18"/>
          <w:szCs w:val="18"/>
        </w:rPr>
        <w:t xml:space="preserve"> de </w:t>
      </w:r>
      <w:r w:rsidR="00260513">
        <w:rPr>
          <w:rFonts w:ascii="Arial" w:hAnsi="Arial" w:cs="Arial"/>
          <w:sz w:val="18"/>
          <w:szCs w:val="18"/>
        </w:rPr>
        <w:t>septiembre d</w:t>
      </w:r>
      <w:r w:rsidRPr="00C733C0">
        <w:rPr>
          <w:rFonts w:ascii="Arial" w:hAnsi="Arial" w:cs="Arial"/>
          <w:sz w:val="18"/>
          <w:szCs w:val="18"/>
        </w:rPr>
        <w:t>el ejercicio 202</w:t>
      </w:r>
      <w:r w:rsidR="008736CF">
        <w:rPr>
          <w:rFonts w:ascii="Arial" w:hAnsi="Arial" w:cs="Arial"/>
          <w:sz w:val="18"/>
          <w:szCs w:val="18"/>
        </w:rPr>
        <w:t>5</w:t>
      </w:r>
      <w:r w:rsidRPr="00C733C0">
        <w:rPr>
          <w:rFonts w:ascii="Arial" w:hAnsi="Arial" w:cs="Arial"/>
          <w:sz w:val="18"/>
          <w:szCs w:val="18"/>
        </w:rPr>
        <w:t xml:space="preserve">, el Poder Ejecutivo </w:t>
      </w:r>
      <w:r>
        <w:rPr>
          <w:rFonts w:ascii="Arial" w:hAnsi="Arial" w:cs="Arial"/>
          <w:sz w:val="18"/>
          <w:szCs w:val="18"/>
        </w:rPr>
        <w:t>no</w:t>
      </w:r>
      <w:r w:rsidRPr="00C733C0">
        <w:rPr>
          <w:rFonts w:ascii="Arial" w:hAnsi="Arial" w:cs="Arial"/>
          <w:sz w:val="18"/>
          <w:szCs w:val="18"/>
        </w:rPr>
        <w:t xml:space="preserve"> tiene activos o pasivos en moneda extranjera</w:t>
      </w:r>
      <w:r>
        <w:rPr>
          <w:rFonts w:ascii="Arial" w:hAnsi="Arial" w:cs="Arial"/>
          <w:sz w:val="18"/>
          <w:szCs w:val="18"/>
        </w:rPr>
        <w:t>.</w:t>
      </w:r>
    </w:p>
    <w:p w14:paraId="1EAC4B03" w14:textId="77777777" w:rsidR="008C10B0" w:rsidRPr="003A3004" w:rsidRDefault="008C10B0" w:rsidP="008C10B0">
      <w:pPr>
        <w:pStyle w:val="Prrafodelista"/>
        <w:numPr>
          <w:ilvl w:val="0"/>
          <w:numId w:val="6"/>
        </w:numPr>
        <w:tabs>
          <w:tab w:val="left" w:pos="284"/>
        </w:tabs>
        <w:jc w:val="both"/>
        <w:rPr>
          <w:rFonts w:ascii="Arial" w:eastAsia="Times New Roman" w:hAnsi="Arial" w:cs="Arial"/>
          <w:b/>
          <w:sz w:val="18"/>
          <w:szCs w:val="18"/>
          <w:lang w:eastAsia="es-ES"/>
        </w:rPr>
      </w:pPr>
      <w:r w:rsidRPr="003A3004">
        <w:rPr>
          <w:rFonts w:ascii="Arial" w:eastAsia="Times New Roman" w:hAnsi="Arial" w:cs="Arial"/>
          <w:b/>
          <w:sz w:val="18"/>
          <w:szCs w:val="18"/>
          <w:lang w:eastAsia="es-ES"/>
        </w:rPr>
        <w:t>Reporte Analítico del Activo</w:t>
      </w:r>
    </w:p>
    <w:p w14:paraId="52C672AD" w14:textId="273DD23E" w:rsidR="008C10B0" w:rsidRPr="001A2210" w:rsidRDefault="008C10B0" w:rsidP="00CB2620">
      <w:pPr>
        <w:ind w:left="284"/>
        <w:jc w:val="both"/>
        <w:rPr>
          <w:rFonts w:ascii="Arial" w:hAnsi="Arial" w:cs="Arial"/>
          <w:sz w:val="18"/>
          <w:szCs w:val="18"/>
        </w:rPr>
      </w:pPr>
      <w:r w:rsidRPr="001A2210">
        <w:rPr>
          <w:rFonts w:ascii="Arial" w:hAnsi="Arial" w:cs="Arial"/>
          <w:sz w:val="18"/>
          <w:szCs w:val="18"/>
        </w:rPr>
        <w:t xml:space="preserve">Al </w:t>
      </w:r>
      <w:r w:rsidR="008736CF">
        <w:rPr>
          <w:rFonts w:ascii="Arial" w:hAnsi="Arial" w:cs="Arial"/>
          <w:sz w:val="18"/>
          <w:szCs w:val="18"/>
        </w:rPr>
        <w:t>3</w:t>
      </w:r>
      <w:r w:rsidR="00515F9B">
        <w:rPr>
          <w:rFonts w:ascii="Arial" w:hAnsi="Arial" w:cs="Arial"/>
          <w:sz w:val="18"/>
          <w:szCs w:val="18"/>
        </w:rPr>
        <w:t>0</w:t>
      </w:r>
      <w:r w:rsidR="008736CF">
        <w:rPr>
          <w:rFonts w:ascii="Arial" w:hAnsi="Arial" w:cs="Arial"/>
          <w:sz w:val="18"/>
          <w:szCs w:val="18"/>
        </w:rPr>
        <w:t xml:space="preserve"> de </w:t>
      </w:r>
      <w:r w:rsidR="00515F9B">
        <w:rPr>
          <w:rFonts w:ascii="Arial" w:hAnsi="Arial" w:cs="Arial"/>
          <w:sz w:val="18"/>
          <w:szCs w:val="18"/>
        </w:rPr>
        <w:t>septiembre</w:t>
      </w:r>
      <w:r w:rsidR="008736CF">
        <w:rPr>
          <w:rFonts w:ascii="Arial" w:hAnsi="Arial" w:cs="Arial"/>
          <w:sz w:val="18"/>
          <w:szCs w:val="18"/>
        </w:rPr>
        <w:t xml:space="preserve"> d</w:t>
      </w:r>
      <w:r w:rsidR="008736CF" w:rsidRPr="00C733C0">
        <w:rPr>
          <w:rFonts w:ascii="Arial" w:hAnsi="Arial" w:cs="Arial"/>
          <w:sz w:val="18"/>
          <w:szCs w:val="18"/>
        </w:rPr>
        <w:t>el ejercicio 202</w:t>
      </w:r>
      <w:r w:rsidR="008736CF">
        <w:rPr>
          <w:rFonts w:ascii="Arial" w:hAnsi="Arial" w:cs="Arial"/>
          <w:sz w:val="18"/>
          <w:szCs w:val="18"/>
        </w:rPr>
        <w:t>5</w:t>
      </w:r>
      <w:r w:rsidRPr="001A2210">
        <w:rPr>
          <w:rFonts w:ascii="Arial" w:hAnsi="Arial" w:cs="Arial"/>
          <w:sz w:val="18"/>
          <w:szCs w:val="18"/>
        </w:rPr>
        <w:t>, el saldo reflejado en la cuenta de bienes muebles es de $</w:t>
      </w:r>
      <w:r w:rsidR="008736CF" w:rsidRPr="008736CF">
        <w:rPr>
          <w:rFonts w:ascii="Arial" w:hAnsi="Arial" w:cs="Arial"/>
          <w:sz w:val="18"/>
          <w:szCs w:val="18"/>
        </w:rPr>
        <w:t>3</w:t>
      </w:r>
      <w:r w:rsidR="008736CF">
        <w:rPr>
          <w:rFonts w:ascii="Arial" w:hAnsi="Arial" w:cs="Arial"/>
          <w:sz w:val="18"/>
          <w:szCs w:val="18"/>
        </w:rPr>
        <w:t>,</w:t>
      </w:r>
      <w:r w:rsidR="00515F9B">
        <w:rPr>
          <w:rFonts w:ascii="Arial" w:hAnsi="Arial" w:cs="Arial"/>
          <w:sz w:val="18"/>
          <w:szCs w:val="18"/>
        </w:rPr>
        <w:t>378</w:t>
      </w:r>
      <w:r w:rsidR="008736CF">
        <w:rPr>
          <w:rFonts w:ascii="Arial" w:hAnsi="Arial" w:cs="Arial"/>
          <w:sz w:val="18"/>
          <w:szCs w:val="18"/>
        </w:rPr>
        <w:t>,</w:t>
      </w:r>
      <w:r w:rsidR="00515F9B">
        <w:rPr>
          <w:rFonts w:ascii="Arial" w:hAnsi="Arial" w:cs="Arial"/>
          <w:sz w:val="18"/>
          <w:szCs w:val="18"/>
        </w:rPr>
        <w:t>127</w:t>
      </w:r>
      <w:r w:rsidR="003A3004">
        <w:rPr>
          <w:rFonts w:ascii="Arial" w:hAnsi="Arial" w:cs="Arial"/>
          <w:sz w:val="18"/>
          <w:szCs w:val="18"/>
        </w:rPr>
        <w:t>,</w:t>
      </w:r>
      <w:r w:rsidR="00515F9B">
        <w:rPr>
          <w:rFonts w:ascii="Arial" w:hAnsi="Arial" w:cs="Arial"/>
          <w:sz w:val="18"/>
          <w:szCs w:val="18"/>
        </w:rPr>
        <w:t>789</w:t>
      </w:r>
      <w:r w:rsidRPr="001A2210">
        <w:rPr>
          <w:rFonts w:ascii="Arial" w:hAnsi="Arial" w:cs="Arial"/>
          <w:sz w:val="18"/>
          <w:szCs w:val="18"/>
        </w:rPr>
        <w:t>, integrado por mobiliario y equipo de administración; instrumental médico y de laboratorio; equipo de transporte; equipo de defensa y seguridad; maquinaria y equipo agropecuario necesarios</w:t>
      </w:r>
      <w:r>
        <w:rPr>
          <w:rFonts w:ascii="Arial" w:hAnsi="Arial" w:cs="Arial"/>
          <w:sz w:val="18"/>
          <w:szCs w:val="18"/>
        </w:rPr>
        <w:t xml:space="preserve"> y </w:t>
      </w:r>
      <w:r w:rsidRPr="00F619D6">
        <w:rPr>
          <w:rFonts w:ascii="Arial" w:hAnsi="Arial" w:cs="Arial"/>
          <w:sz w:val="18"/>
          <w:szCs w:val="18"/>
        </w:rPr>
        <w:t>la cuenta de bienes inmuebles es de $</w:t>
      </w:r>
      <w:r w:rsidR="00515F9B">
        <w:rPr>
          <w:rFonts w:ascii="Arial" w:hAnsi="Arial" w:cs="Arial"/>
          <w:sz w:val="18"/>
          <w:szCs w:val="18"/>
        </w:rPr>
        <w:t>9</w:t>
      </w:r>
      <w:r w:rsidR="003A3004">
        <w:rPr>
          <w:rFonts w:ascii="Arial" w:hAnsi="Arial" w:cs="Arial"/>
          <w:sz w:val="18"/>
          <w:szCs w:val="18"/>
        </w:rPr>
        <w:t>,</w:t>
      </w:r>
      <w:r w:rsidR="00515F9B">
        <w:rPr>
          <w:rFonts w:ascii="Arial" w:hAnsi="Arial" w:cs="Arial"/>
          <w:sz w:val="18"/>
          <w:szCs w:val="18"/>
        </w:rPr>
        <w:t>578</w:t>
      </w:r>
      <w:r w:rsidR="003A3004">
        <w:rPr>
          <w:rFonts w:ascii="Arial" w:hAnsi="Arial" w:cs="Arial"/>
          <w:sz w:val="18"/>
          <w:szCs w:val="18"/>
        </w:rPr>
        <w:t>,</w:t>
      </w:r>
      <w:r w:rsidR="00515F9B">
        <w:rPr>
          <w:rFonts w:ascii="Arial" w:hAnsi="Arial" w:cs="Arial"/>
          <w:sz w:val="18"/>
          <w:szCs w:val="18"/>
        </w:rPr>
        <w:t>286</w:t>
      </w:r>
      <w:r w:rsidR="003A3004">
        <w:rPr>
          <w:rFonts w:ascii="Arial" w:hAnsi="Arial" w:cs="Arial"/>
          <w:sz w:val="18"/>
          <w:szCs w:val="18"/>
        </w:rPr>
        <w:t>,</w:t>
      </w:r>
      <w:r w:rsidR="00515F9B">
        <w:rPr>
          <w:rFonts w:ascii="Arial" w:hAnsi="Arial" w:cs="Arial"/>
          <w:sz w:val="18"/>
          <w:szCs w:val="18"/>
        </w:rPr>
        <w:t>173</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w:t>
      </w:r>
      <w:r>
        <w:rPr>
          <w:rFonts w:ascii="Arial" w:hAnsi="Arial" w:cs="Arial"/>
          <w:sz w:val="18"/>
          <w:szCs w:val="18"/>
        </w:rPr>
        <w:t>l</w:t>
      </w:r>
      <w:r w:rsidRPr="0073056A">
        <w:rPr>
          <w:rFonts w:ascii="Arial" w:hAnsi="Arial" w:cs="Arial"/>
          <w:sz w:val="18"/>
          <w:szCs w:val="18"/>
        </w:rPr>
        <w:t xml:space="preserve"> </w:t>
      </w:r>
      <w:r>
        <w:rPr>
          <w:rFonts w:ascii="Arial" w:hAnsi="Arial" w:cs="Arial"/>
          <w:sz w:val="18"/>
          <w:szCs w:val="18"/>
        </w:rPr>
        <w:t>ente</w:t>
      </w:r>
      <w:r w:rsidRPr="0073056A">
        <w:rPr>
          <w:rFonts w:ascii="Arial" w:hAnsi="Arial" w:cs="Arial"/>
          <w:sz w:val="18"/>
          <w:szCs w:val="18"/>
        </w:rPr>
        <w:t xml:space="preserve"> público</w:t>
      </w:r>
      <w:r w:rsidRPr="001A2210">
        <w:rPr>
          <w:rFonts w:ascii="Arial" w:hAnsi="Arial" w:cs="Arial"/>
          <w:sz w:val="18"/>
          <w:szCs w:val="18"/>
        </w:rPr>
        <w:t xml:space="preserve"> para el desarrollo de las funci</w:t>
      </w:r>
      <w:r>
        <w:rPr>
          <w:rFonts w:ascii="Arial" w:hAnsi="Arial" w:cs="Arial"/>
          <w:sz w:val="18"/>
          <w:szCs w:val="18"/>
        </w:rPr>
        <w:t>ones de derecho público.</w:t>
      </w:r>
    </w:p>
    <w:p w14:paraId="222A46B8" w14:textId="77777777" w:rsidR="008C10B0" w:rsidRPr="003A3004" w:rsidRDefault="008C10B0" w:rsidP="008C10B0">
      <w:pPr>
        <w:pStyle w:val="Prrafodelista"/>
        <w:numPr>
          <w:ilvl w:val="0"/>
          <w:numId w:val="6"/>
        </w:numPr>
        <w:tabs>
          <w:tab w:val="left" w:pos="284"/>
        </w:tabs>
        <w:jc w:val="both"/>
        <w:rPr>
          <w:rFonts w:ascii="Arial" w:eastAsia="Times New Roman" w:hAnsi="Arial" w:cs="Arial"/>
          <w:b/>
          <w:sz w:val="18"/>
          <w:szCs w:val="18"/>
          <w:lang w:eastAsia="es-ES"/>
        </w:rPr>
      </w:pPr>
      <w:r w:rsidRPr="003A3004">
        <w:rPr>
          <w:rFonts w:ascii="Arial" w:eastAsia="Times New Roman" w:hAnsi="Arial" w:cs="Arial"/>
          <w:b/>
          <w:sz w:val="18"/>
          <w:szCs w:val="18"/>
          <w:lang w:eastAsia="es-ES"/>
        </w:rPr>
        <w:t>Fideicomisos, Mandatos y Análogos</w:t>
      </w:r>
    </w:p>
    <w:p w14:paraId="4AE7BB96" w14:textId="29236B45" w:rsidR="008C10B0" w:rsidRPr="001A2210" w:rsidRDefault="008C10B0" w:rsidP="008C10B0">
      <w:pPr>
        <w:tabs>
          <w:tab w:val="left" w:pos="284"/>
        </w:tabs>
        <w:ind w:left="284"/>
        <w:jc w:val="both"/>
        <w:rPr>
          <w:rFonts w:ascii="Arial" w:eastAsia="Times New Roman" w:hAnsi="Arial" w:cs="Arial"/>
          <w:b/>
          <w:sz w:val="18"/>
          <w:szCs w:val="18"/>
          <w:lang w:eastAsia="es-ES"/>
        </w:rPr>
      </w:pPr>
      <w:r>
        <w:rPr>
          <w:rFonts w:ascii="Arial" w:hAnsi="Arial" w:cs="Arial"/>
          <w:sz w:val="18"/>
          <w:szCs w:val="18"/>
        </w:rPr>
        <w:t xml:space="preserve">Al </w:t>
      </w:r>
      <w:r w:rsidR="003A3004">
        <w:rPr>
          <w:rFonts w:ascii="Arial" w:hAnsi="Arial" w:cs="Arial"/>
          <w:sz w:val="18"/>
          <w:szCs w:val="18"/>
        </w:rPr>
        <w:t>3</w:t>
      </w:r>
      <w:r w:rsidR="00515F9B">
        <w:rPr>
          <w:rFonts w:ascii="Arial" w:hAnsi="Arial" w:cs="Arial"/>
          <w:sz w:val="18"/>
          <w:szCs w:val="18"/>
        </w:rPr>
        <w:t>0</w:t>
      </w:r>
      <w:r w:rsidR="003A3004">
        <w:rPr>
          <w:rFonts w:ascii="Arial" w:hAnsi="Arial" w:cs="Arial"/>
          <w:sz w:val="18"/>
          <w:szCs w:val="18"/>
        </w:rPr>
        <w:t xml:space="preserve"> de </w:t>
      </w:r>
      <w:r w:rsidR="00515F9B">
        <w:rPr>
          <w:rFonts w:ascii="Arial" w:hAnsi="Arial" w:cs="Arial"/>
          <w:sz w:val="18"/>
          <w:szCs w:val="18"/>
        </w:rPr>
        <w:t>septiembre</w:t>
      </w:r>
      <w:r w:rsidR="003A3004">
        <w:rPr>
          <w:rFonts w:ascii="Arial" w:hAnsi="Arial" w:cs="Arial"/>
          <w:sz w:val="18"/>
          <w:szCs w:val="18"/>
        </w:rPr>
        <w:t xml:space="preserve"> d</w:t>
      </w:r>
      <w:r w:rsidR="003A3004" w:rsidRPr="00C733C0">
        <w:rPr>
          <w:rFonts w:ascii="Arial" w:hAnsi="Arial" w:cs="Arial"/>
          <w:sz w:val="18"/>
          <w:szCs w:val="18"/>
        </w:rPr>
        <w:t>el ejercicio 202</w:t>
      </w:r>
      <w:r w:rsidR="003A3004">
        <w:rPr>
          <w:rFonts w:ascii="Arial" w:hAnsi="Arial" w:cs="Arial"/>
          <w:sz w:val="18"/>
          <w:szCs w:val="18"/>
        </w:rPr>
        <w:t>5</w:t>
      </w:r>
      <w:r>
        <w:rPr>
          <w:rFonts w:ascii="Arial" w:hAnsi="Arial" w:cs="Arial"/>
          <w:sz w:val="18"/>
          <w:szCs w:val="18"/>
        </w:rPr>
        <w:t xml:space="preserve"> el Poder Ejecutivo cuenta con Inversiones en Fideicomisos sin estructura orgánica por un importe de $</w:t>
      </w:r>
      <w:r w:rsidR="003A3004">
        <w:rPr>
          <w:rFonts w:ascii="Arial" w:hAnsi="Arial" w:cs="Arial"/>
          <w:sz w:val="18"/>
          <w:szCs w:val="18"/>
        </w:rPr>
        <w:t>4</w:t>
      </w:r>
      <w:r w:rsidR="00515F9B">
        <w:rPr>
          <w:rFonts w:ascii="Arial" w:hAnsi="Arial" w:cs="Arial"/>
          <w:sz w:val="18"/>
          <w:szCs w:val="18"/>
        </w:rPr>
        <w:t>90</w:t>
      </w:r>
      <w:r>
        <w:rPr>
          <w:rFonts w:ascii="Arial" w:hAnsi="Arial" w:cs="Arial"/>
          <w:sz w:val="18"/>
          <w:szCs w:val="18"/>
        </w:rPr>
        <w:t>,</w:t>
      </w:r>
      <w:r w:rsidR="00515F9B">
        <w:rPr>
          <w:rFonts w:ascii="Arial" w:hAnsi="Arial" w:cs="Arial"/>
          <w:sz w:val="18"/>
          <w:szCs w:val="18"/>
        </w:rPr>
        <w:t>947</w:t>
      </w:r>
      <w:r>
        <w:rPr>
          <w:rFonts w:ascii="Arial" w:hAnsi="Arial" w:cs="Arial"/>
          <w:sz w:val="18"/>
          <w:szCs w:val="18"/>
        </w:rPr>
        <w:t>,</w:t>
      </w:r>
      <w:r w:rsidR="00515F9B">
        <w:rPr>
          <w:rFonts w:ascii="Arial" w:hAnsi="Arial" w:cs="Arial"/>
          <w:sz w:val="18"/>
          <w:szCs w:val="18"/>
        </w:rPr>
        <w:t>753</w:t>
      </w:r>
      <w:r>
        <w:rPr>
          <w:rFonts w:ascii="Arial" w:hAnsi="Arial" w:cs="Arial"/>
          <w:sz w:val="18"/>
          <w:szCs w:val="18"/>
        </w:rPr>
        <w:t>.</w:t>
      </w:r>
    </w:p>
    <w:p w14:paraId="371452EB" w14:textId="77777777" w:rsidR="008C10B0" w:rsidRPr="00EC084F" w:rsidRDefault="008C10B0" w:rsidP="008C10B0">
      <w:pPr>
        <w:pStyle w:val="Prrafodelista"/>
        <w:numPr>
          <w:ilvl w:val="0"/>
          <w:numId w:val="6"/>
        </w:numPr>
        <w:tabs>
          <w:tab w:val="left" w:pos="284"/>
        </w:tabs>
        <w:jc w:val="both"/>
        <w:rPr>
          <w:rFonts w:ascii="Arial" w:eastAsia="Times New Roman" w:hAnsi="Arial" w:cs="Arial"/>
          <w:b/>
          <w:sz w:val="18"/>
          <w:szCs w:val="18"/>
          <w:lang w:eastAsia="es-ES"/>
        </w:rPr>
      </w:pPr>
      <w:r w:rsidRPr="00EC084F">
        <w:rPr>
          <w:rFonts w:ascii="Arial" w:eastAsia="Times New Roman" w:hAnsi="Arial" w:cs="Arial"/>
          <w:b/>
          <w:sz w:val="18"/>
          <w:szCs w:val="18"/>
          <w:lang w:eastAsia="es-ES"/>
        </w:rPr>
        <w:t>Reporte de la Recaudación</w:t>
      </w:r>
    </w:p>
    <w:p w14:paraId="21BDCAA7" w14:textId="77777777" w:rsidR="008C10B0" w:rsidRPr="006149C2" w:rsidRDefault="008C10B0" w:rsidP="008C10B0">
      <w:pPr>
        <w:pStyle w:val="Prrafodelista"/>
        <w:numPr>
          <w:ilvl w:val="0"/>
          <w:numId w:val="16"/>
        </w:numPr>
        <w:tabs>
          <w:tab w:val="left" w:pos="284"/>
        </w:tabs>
        <w:jc w:val="both"/>
        <w:rPr>
          <w:rFonts w:ascii="Arial" w:eastAsia="Times New Roman" w:hAnsi="Arial" w:cs="Arial"/>
          <w:sz w:val="18"/>
          <w:szCs w:val="18"/>
          <w:lang w:eastAsia="es-ES"/>
        </w:rPr>
      </w:pPr>
      <w:r w:rsidRPr="006149C2">
        <w:rPr>
          <w:rFonts w:ascii="Arial" w:eastAsia="Times New Roman" w:hAnsi="Arial" w:cs="Arial"/>
          <w:sz w:val="18"/>
          <w:szCs w:val="18"/>
          <w:lang w:eastAsia="es-ES"/>
        </w:rPr>
        <w:t>Análisis del comportamiento de la recaudación:</w:t>
      </w:r>
    </w:p>
    <w:p w14:paraId="091434E0" w14:textId="4E6068CC" w:rsidR="008C10B0" w:rsidRPr="00BF33B5" w:rsidRDefault="008C10B0" w:rsidP="008C10B0">
      <w:pPr>
        <w:tabs>
          <w:tab w:val="left" w:pos="284"/>
        </w:tabs>
        <w:ind w:left="288"/>
        <w:jc w:val="both"/>
        <w:rPr>
          <w:rFonts w:ascii="Arial" w:eastAsia="Times New Roman" w:hAnsi="Arial" w:cs="Arial"/>
          <w:sz w:val="18"/>
          <w:szCs w:val="18"/>
          <w:lang w:eastAsia="es-ES"/>
        </w:rPr>
      </w:pPr>
      <w:r w:rsidRPr="00BF33B5">
        <w:rPr>
          <w:rFonts w:ascii="Arial" w:eastAsia="Times New Roman" w:hAnsi="Arial" w:cs="Arial"/>
          <w:sz w:val="18"/>
          <w:szCs w:val="18"/>
          <w:lang w:eastAsia="es-ES"/>
        </w:rPr>
        <w:t xml:space="preserve">Al </w:t>
      </w:r>
      <w:r w:rsidR="00515F9B" w:rsidRPr="00BF33B5">
        <w:rPr>
          <w:rFonts w:ascii="Arial" w:eastAsia="Times New Roman" w:hAnsi="Arial" w:cs="Arial"/>
          <w:sz w:val="18"/>
          <w:szCs w:val="18"/>
          <w:lang w:eastAsia="es-ES"/>
        </w:rPr>
        <w:t>tercer</w:t>
      </w:r>
      <w:r w:rsidR="000243C9" w:rsidRPr="00BF33B5">
        <w:rPr>
          <w:rFonts w:ascii="Arial" w:eastAsia="Times New Roman" w:hAnsi="Arial" w:cs="Arial"/>
          <w:sz w:val="18"/>
          <w:szCs w:val="18"/>
          <w:lang w:eastAsia="es-ES"/>
        </w:rPr>
        <w:t xml:space="preserve"> trimestre</w:t>
      </w:r>
      <w:r w:rsidRPr="00BF33B5">
        <w:rPr>
          <w:rFonts w:ascii="Arial" w:eastAsia="Times New Roman" w:hAnsi="Arial" w:cs="Arial"/>
          <w:sz w:val="18"/>
          <w:szCs w:val="18"/>
          <w:lang w:eastAsia="es-ES"/>
        </w:rPr>
        <w:t xml:space="preserve"> del ejercicio fiscal 202</w:t>
      </w:r>
      <w:r w:rsidR="000243C9" w:rsidRPr="00BF33B5">
        <w:rPr>
          <w:rFonts w:ascii="Arial" w:eastAsia="Times New Roman" w:hAnsi="Arial" w:cs="Arial"/>
          <w:sz w:val="18"/>
          <w:szCs w:val="18"/>
          <w:lang w:eastAsia="es-ES"/>
        </w:rPr>
        <w:t>5</w:t>
      </w:r>
      <w:r w:rsidRPr="00BF33B5">
        <w:rPr>
          <w:rFonts w:ascii="Arial" w:eastAsia="Times New Roman" w:hAnsi="Arial" w:cs="Arial"/>
          <w:sz w:val="18"/>
          <w:szCs w:val="18"/>
          <w:lang w:eastAsia="es-ES"/>
        </w:rPr>
        <w:t xml:space="preserve">, los ingresos por fuentes locales, que son recaudados por el Estado, presentan un comportamiento favorable, ya que la Ley de Ingresos para el Estado de Tlaxcala presentó cifras aprobadas por un monto de </w:t>
      </w:r>
      <w:r w:rsidR="00BF33B5" w:rsidRPr="00BF33B5">
        <w:rPr>
          <w:rFonts w:ascii="Arial" w:eastAsia="Times New Roman" w:hAnsi="Arial" w:cs="Arial"/>
          <w:sz w:val="18"/>
          <w:szCs w:val="18"/>
          <w:lang w:eastAsia="es-ES"/>
        </w:rPr>
        <w:t>1,379,911,826</w:t>
      </w:r>
      <w:r w:rsidRPr="00BF33B5">
        <w:rPr>
          <w:rFonts w:ascii="Arial" w:eastAsia="Times New Roman" w:hAnsi="Arial" w:cs="Arial"/>
          <w:sz w:val="18"/>
          <w:szCs w:val="18"/>
          <w:lang w:eastAsia="es-ES"/>
        </w:rPr>
        <w:t xml:space="preserve"> y al </w:t>
      </w:r>
      <w:proofErr w:type="gramStart"/>
      <w:r w:rsidR="00515F9B" w:rsidRPr="00BF33B5">
        <w:rPr>
          <w:rFonts w:ascii="Arial" w:eastAsia="Times New Roman" w:hAnsi="Arial" w:cs="Arial"/>
          <w:sz w:val="18"/>
          <w:szCs w:val="18"/>
          <w:lang w:eastAsia="es-ES"/>
        </w:rPr>
        <w:t>tercer</w:t>
      </w:r>
      <w:r w:rsidR="004C0174" w:rsidRPr="00BF33B5">
        <w:rPr>
          <w:rFonts w:ascii="Arial" w:eastAsia="Times New Roman" w:hAnsi="Arial" w:cs="Arial"/>
          <w:sz w:val="18"/>
          <w:szCs w:val="18"/>
          <w:lang w:eastAsia="es-ES"/>
        </w:rPr>
        <w:t xml:space="preserve"> </w:t>
      </w:r>
      <w:r w:rsidR="000243C9" w:rsidRPr="00BF33B5">
        <w:rPr>
          <w:rFonts w:ascii="Arial" w:eastAsia="Times New Roman" w:hAnsi="Arial" w:cs="Arial"/>
          <w:sz w:val="18"/>
          <w:szCs w:val="18"/>
          <w:lang w:eastAsia="es-ES"/>
        </w:rPr>
        <w:t xml:space="preserve"> trimestre</w:t>
      </w:r>
      <w:proofErr w:type="gramEnd"/>
      <w:r w:rsidRPr="00BF33B5">
        <w:rPr>
          <w:rFonts w:ascii="Arial" w:eastAsia="Times New Roman" w:hAnsi="Arial" w:cs="Arial"/>
          <w:sz w:val="18"/>
          <w:szCs w:val="18"/>
          <w:lang w:eastAsia="es-ES"/>
        </w:rPr>
        <w:t xml:space="preserve"> se recaudó un monto de </w:t>
      </w:r>
      <w:r w:rsidR="00BF33B5" w:rsidRPr="00BF33B5">
        <w:rPr>
          <w:rFonts w:ascii="Arial" w:eastAsia="Times New Roman" w:hAnsi="Arial" w:cs="Arial"/>
          <w:sz w:val="18"/>
          <w:szCs w:val="18"/>
          <w:lang w:eastAsia="es-ES"/>
        </w:rPr>
        <w:t>1,666,147,913.39</w:t>
      </w:r>
      <w:r w:rsidRPr="00BF33B5">
        <w:rPr>
          <w:rFonts w:ascii="Arial" w:eastAsia="Times New Roman" w:hAnsi="Arial" w:cs="Arial"/>
          <w:sz w:val="18"/>
          <w:szCs w:val="18"/>
          <w:lang w:eastAsia="es-ES"/>
        </w:rPr>
        <w:t xml:space="preserve"> que representa un monto de </w:t>
      </w:r>
      <w:r w:rsidR="00BF33B5" w:rsidRPr="00BF33B5">
        <w:rPr>
          <w:rFonts w:ascii="Arial" w:eastAsia="Times New Roman" w:hAnsi="Arial" w:cs="Arial"/>
          <w:sz w:val="18"/>
          <w:szCs w:val="18"/>
          <w:lang w:eastAsia="es-ES"/>
        </w:rPr>
        <w:t>286,235,989.39</w:t>
      </w:r>
      <w:r w:rsidRPr="00BF33B5">
        <w:rPr>
          <w:rFonts w:ascii="Arial" w:eastAsia="Times New Roman" w:hAnsi="Arial" w:cs="Arial"/>
          <w:sz w:val="18"/>
          <w:szCs w:val="18"/>
          <w:lang w:eastAsia="es-ES"/>
        </w:rPr>
        <w:t xml:space="preserve"> con un crecimiento de 2</w:t>
      </w:r>
      <w:r w:rsidR="00BF33B5" w:rsidRPr="00BF33B5">
        <w:rPr>
          <w:rFonts w:ascii="Arial" w:eastAsia="Times New Roman" w:hAnsi="Arial" w:cs="Arial"/>
          <w:sz w:val="18"/>
          <w:szCs w:val="18"/>
          <w:lang w:eastAsia="es-ES"/>
        </w:rPr>
        <w:t>0</w:t>
      </w:r>
      <w:r w:rsidRPr="00BF33B5">
        <w:rPr>
          <w:rFonts w:ascii="Arial" w:eastAsia="Times New Roman" w:hAnsi="Arial" w:cs="Arial"/>
          <w:sz w:val="18"/>
          <w:szCs w:val="18"/>
          <w:lang w:eastAsia="es-ES"/>
        </w:rPr>
        <w:t>.</w:t>
      </w:r>
      <w:r w:rsidR="00BF33B5" w:rsidRPr="00BF33B5">
        <w:rPr>
          <w:rFonts w:ascii="Arial" w:eastAsia="Times New Roman" w:hAnsi="Arial" w:cs="Arial"/>
          <w:sz w:val="18"/>
          <w:szCs w:val="18"/>
          <w:lang w:eastAsia="es-ES"/>
        </w:rPr>
        <w:t>74</w:t>
      </w:r>
      <w:r w:rsidRPr="00BF33B5">
        <w:rPr>
          <w:rFonts w:ascii="Arial" w:eastAsia="Times New Roman" w:hAnsi="Arial" w:cs="Arial"/>
          <w:sz w:val="18"/>
          <w:szCs w:val="18"/>
          <w:lang w:eastAsia="es-ES"/>
        </w:rPr>
        <w:t>%.</w:t>
      </w:r>
    </w:p>
    <w:p w14:paraId="673D1E6F" w14:textId="77777777" w:rsidR="008C10B0" w:rsidRPr="00BF33B5" w:rsidRDefault="008C10B0" w:rsidP="008C10B0">
      <w:pPr>
        <w:pStyle w:val="Prrafodelista"/>
        <w:numPr>
          <w:ilvl w:val="0"/>
          <w:numId w:val="16"/>
        </w:numPr>
        <w:tabs>
          <w:tab w:val="left" w:pos="284"/>
        </w:tabs>
        <w:jc w:val="both"/>
        <w:rPr>
          <w:rFonts w:ascii="Arial" w:eastAsia="Times New Roman" w:hAnsi="Arial" w:cs="Arial"/>
          <w:sz w:val="18"/>
          <w:szCs w:val="18"/>
          <w:lang w:eastAsia="es-ES"/>
        </w:rPr>
      </w:pPr>
      <w:r w:rsidRPr="00BF33B5">
        <w:rPr>
          <w:rFonts w:ascii="Arial" w:eastAsia="Times New Roman" w:hAnsi="Arial" w:cs="Arial"/>
          <w:sz w:val="18"/>
          <w:szCs w:val="18"/>
          <w:lang w:eastAsia="es-ES"/>
        </w:rPr>
        <w:t>Proyección de la recaudación e ingresos en el mediano plazo</w:t>
      </w:r>
    </w:p>
    <w:p w14:paraId="2EC576D8" w14:textId="6107B065" w:rsidR="008C10B0" w:rsidRPr="00307D7E" w:rsidRDefault="008C10B0" w:rsidP="008C10B0">
      <w:pPr>
        <w:tabs>
          <w:tab w:val="left" w:pos="284"/>
        </w:tabs>
        <w:ind w:left="284"/>
        <w:jc w:val="both"/>
        <w:rPr>
          <w:rFonts w:ascii="Arial" w:eastAsia="Times New Roman" w:hAnsi="Arial" w:cs="Arial"/>
          <w:sz w:val="18"/>
          <w:szCs w:val="18"/>
          <w:lang w:eastAsia="es-ES"/>
        </w:rPr>
      </w:pPr>
      <w:r w:rsidRPr="00BF33B5">
        <w:rPr>
          <w:rFonts w:ascii="Arial" w:eastAsia="Times New Roman" w:hAnsi="Arial" w:cs="Arial"/>
          <w:sz w:val="18"/>
          <w:szCs w:val="18"/>
          <w:lang w:eastAsia="es-ES"/>
        </w:rPr>
        <w:t>Para el ejercicio fiscal 2025 se tiene una proyección de crecimiento de 4.59%, ya que de la cifra aprobada en el ejercicio fiscal 2024 de 1,872,305,534, se proyecta recau</w:t>
      </w:r>
      <w:r w:rsidR="0057726C" w:rsidRPr="00BF33B5">
        <w:rPr>
          <w:rFonts w:ascii="Arial" w:eastAsia="Times New Roman" w:hAnsi="Arial" w:cs="Arial"/>
          <w:sz w:val="18"/>
          <w:szCs w:val="18"/>
          <w:lang w:eastAsia="es-ES"/>
        </w:rPr>
        <w:t>dar 1,958,188,805, esto es 85,8</w:t>
      </w:r>
      <w:r w:rsidRPr="00BF33B5">
        <w:rPr>
          <w:rFonts w:ascii="Arial" w:eastAsia="Times New Roman" w:hAnsi="Arial" w:cs="Arial"/>
          <w:sz w:val="18"/>
          <w:szCs w:val="18"/>
          <w:lang w:eastAsia="es-ES"/>
        </w:rPr>
        <w:t>83,271.</w:t>
      </w:r>
    </w:p>
    <w:p w14:paraId="686D133C" w14:textId="77777777" w:rsidR="008C10B0" w:rsidRDefault="008C10B0" w:rsidP="008C10B0">
      <w:pPr>
        <w:pStyle w:val="Texto"/>
        <w:tabs>
          <w:tab w:val="left" w:pos="284"/>
        </w:tabs>
        <w:spacing w:after="0" w:line="276" w:lineRule="auto"/>
        <w:ind w:left="284" w:firstLine="0"/>
        <w:rPr>
          <w:b/>
          <w:szCs w:val="18"/>
          <w:lang w:val="es-MX"/>
        </w:rPr>
      </w:pPr>
      <w:r>
        <w:rPr>
          <w:b/>
          <w:szCs w:val="18"/>
          <w:lang w:val="es-MX"/>
        </w:rPr>
        <w:lastRenderedPageBreak/>
        <w:t>10. Información sobre la Deuda y el Reporte Analítico de la Deuda</w:t>
      </w:r>
    </w:p>
    <w:p w14:paraId="3C9521F6" w14:textId="67492A71"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La deuda pública es una de las principales herramientas de los gobiernos para la obtención de recursos financieros adicionales para el desarrollo económico y social. En las comunidades con organización federal, como la mexicana, existen aparatos institucionales diseñados para procurar que el uso del instrumento por parte de los gobiernos locales se realice de manera disciplinada y productiva. En este sentido, la Constitución estipula obligaciones en cuanto al origen y el destino del endeudamiento, a partir de las cuales las entidades federativas llevan a cabo sus legislaciones; luego de un incremento generalizado en las cifras de endeudamiento de los estados y municipios, vinculados con acusaciones de corrupción y manejo indebido de recursos, se aprobó una reforma constitucional que incluye una Ley de Disciplina Financiera para las Entidades Federativas y los Municipios, al respecto se establece un Registro Público Único de Obligaciones y Empréstitos de Entidades y Municipios a cargo de la Secretaría de Hacienda y Crédito Público, que tiene por objeto documentar los financiamientos adquiridos por los gobiernos locales.</w:t>
      </w:r>
      <w:r w:rsidR="002D48B0">
        <w:rPr>
          <w:rFonts w:ascii="Arial" w:eastAsia="Times New Roman" w:hAnsi="Arial" w:cs="Arial"/>
          <w:sz w:val="18"/>
          <w:szCs w:val="18"/>
          <w:lang w:eastAsia="es-ES"/>
        </w:rPr>
        <w:t xml:space="preserve"> </w:t>
      </w:r>
      <w:r w:rsidRPr="00A11793">
        <w:rPr>
          <w:rFonts w:ascii="Arial" w:eastAsia="Times New Roman" w:hAnsi="Arial" w:cs="Arial"/>
          <w:sz w:val="18"/>
          <w:szCs w:val="18"/>
          <w:lang w:eastAsia="es-ES"/>
        </w:rPr>
        <w:t>En un ambiente macroeconómico mundial de incertidumbre y volatilidad, teniendo como premisa el mantener la disciplina en las finanzas públicas, a través de un programa de austeridad y eficiencia en el gasto público, se han establecido políticas para la hacienda pública estatal que permitirán sustentar fuentes de ingreso estables y permanentes, así como un gasto público austero y basado en resultados.</w:t>
      </w:r>
      <w:r w:rsidR="002D48B0">
        <w:rPr>
          <w:rFonts w:ascii="Arial" w:eastAsia="Times New Roman" w:hAnsi="Arial" w:cs="Arial"/>
          <w:sz w:val="18"/>
          <w:szCs w:val="18"/>
          <w:lang w:eastAsia="es-ES"/>
        </w:rPr>
        <w:t xml:space="preserve"> </w:t>
      </w:r>
      <w:r w:rsidRPr="00A11793">
        <w:rPr>
          <w:rFonts w:ascii="Arial" w:eastAsia="Times New Roman" w:hAnsi="Arial" w:cs="Arial"/>
          <w:sz w:val="18"/>
          <w:szCs w:val="18"/>
          <w:lang w:eastAsia="es-ES"/>
        </w:rPr>
        <w:t xml:space="preserve">Con la publicación y entrada en vigor de la Ley de Disciplina Financiera de las Entidades Federativas y los Municipios el 27 de abril de 2016, se establecieron criterios de mayor transparencia en el uso del financiamiento de los gobiernos locales entre los que destacan: </w:t>
      </w:r>
    </w:p>
    <w:p w14:paraId="243E43E6"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a) Nuevas reglas de disciplina financiera que contemplan mecanismos de equilibrio presupuestario y de distribución de ingresos excedentes;</w:t>
      </w:r>
    </w:p>
    <w:p w14:paraId="6536FB37"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b) Un sistema de alertas, el cual mide los niveles de endeudamiento, del servicio de la deuda y las condiciones de liquidez de las entidades federativas, los municipios y sus entes públicos, y</w:t>
      </w:r>
    </w:p>
    <w:p w14:paraId="09504E51"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c) Un Registro Público Único que permite la inscripción de la totalidad de las obligaciones de los gobiernos locales. De ahí la importancia de presentar este reporte trimestral que muestra de manera sencilla la situación actual que guarda la deuda de entidades federativas, municipios y sus entes públicos (deuda subnacional).</w:t>
      </w:r>
    </w:p>
    <w:p w14:paraId="6E548ED2"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La deuda del Gobierno Federal comprende las obligaciones de los poderes Legislativo y Judicial, las dependencias del Poder Ejecutivo Federal y sus órganos desconcentrados, así como las obligaciones contraídas por entidades que formaron parte de la Administración Pública Federal paraestatal y que fueron transformadas en órganos autónomos, en particular, el Instituto Nacional de Transparencia, Acceso a la Información y Protección de Datos Personales (INAI), y el Instituto Federal de Telecomunicaciones (IFT). </w:t>
      </w:r>
    </w:p>
    <w:p w14:paraId="1170BF0C"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Por su parte, la deuda del Sector Público está integrada por la deuda del Gobierno Federal más las obligaciones de las entidades de control presupuestario directo, de las Empresas Productivas del Estado y sus subsidiarias, y de la banca de desarrollo. Finalmente, el SHRFSP está integrado por la deuda del Sector Público Presupuestario más las obligaciones que, por diversos ordenamientos jurídicos y prácticas presupuestarias, no se incluyen en la deuda pública. </w:t>
      </w:r>
    </w:p>
    <w:p w14:paraId="0569A234"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En particular, el SHRFSP incluye las obligaciones financieras netas del Instituto para la Protección al Ahorro Bancario (IPAB) y el programa de apoyo a deudores, las obligaciones de los </w:t>
      </w:r>
      <w:proofErr w:type="spellStart"/>
      <w:r w:rsidRPr="00A11793">
        <w:rPr>
          <w:rFonts w:ascii="Arial" w:eastAsia="Times New Roman" w:hAnsi="Arial" w:cs="Arial"/>
          <w:sz w:val="18"/>
          <w:szCs w:val="18"/>
          <w:lang w:eastAsia="es-ES"/>
        </w:rPr>
        <w:t>Pidiregas</w:t>
      </w:r>
      <w:proofErr w:type="spellEnd"/>
      <w:r w:rsidRPr="00A11793">
        <w:rPr>
          <w:rFonts w:ascii="Arial" w:eastAsia="Times New Roman" w:hAnsi="Arial" w:cs="Arial"/>
          <w:sz w:val="18"/>
          <w:szCs w:val="18"/>
          <w:lang w:eastAsia="es-ES"/>
        </w:rPr>
        <w:t>, las obligaciones derivadas del entonces Fideicomiso de Apoyo para el Rescate de Autopistas Concesionadas (FARAC), hoy Fondo Nacional de Infraestructura (</w:t>
      </w:r>
      <w:proofErr w:type="spellStart"/>
      <w:r w:rsidRPr="00A11793">
        <w:rPr>
          <w:rFonts w:ascii="Arial" w:eastAsia="Times New Roman" w:hAnsi="Arial" w:cs="Arial"/>
          <w:sz w:val="18"/>
          <w:szCs w:val="18"/>
          <w:lang w:eastAsia="es-ES"/>
        </w:rPr>
        <w:t>Fonadin</w:t>
      </w:r>
      <w:proofErr w:type="spellEnd"/>
      <w:r w:rsidRPr="00A11793">
        <w:rPr>
          <w:rFonts w:ascii="Arial" w:eastAsia="Times New Roman" w:hAnsi="Arial" w:cs="Arial"/>
          <w:sz w:val="18"/>
          <w:szCs w:val="18"/>
          <w:lang w:eastAsia="es-ES"/>
        </w:rPr>
        <w:t>); y el patrimonio de las Instituciones de Fomento.</w:t>
      </w:r>
    </w:p>
    <w:p w14:paraId="555AC999" w14:textId="77777777" w:rsidR="00260513" w:rsidRPr="00260513" w:rsidRDefault="00260513" w:rsidP="00260513">
      <w:pPr>
        <w:tabs>
          <w:tab w:val="left" w:pos="284"/>
        </w:tabs>
        <w:ind w:left="284"/>
        <w:jc w:val="both"/>
        <w:rPr>
          <w:rFonts w:ascii="Arial" w:eastAsia="Times New Roman" w:hAnsi="Arial" w:cs="Arial"/>
          <w:sz w:val="18"/>
          <w:szCs w:val="18"/>
          <w:lang w:eastAsia="es-ES"/>
        </w:rPr>
      </w:pPr>
      <w:r w:rsidRPr="00260513">
        <w:rPr>
          <w:rFonts w:ascii="Arial" w:eastAsia="Times New Roman" w:hAnsi="Arial" w:cs="Arial"/>
          <w:sz w:val="18"/>
          <w:szCs w:val="18"/>
          <w:lang w:eastAsia="es-ES"/>
        </w:rPr>
        <w:t xml:space="preserve">En el segundo trimestre de 2025, la política de deuda se mantuvo activa respecto al refinanciamiento de sus pasivos, tanto en los mercados locales e internacionales, para mitigar costos y riesgos, así como para mejorar el perfil de vencimientos del portafolio, con la finalidad de mantener una trayectoria de la deuda estable y sostenible como proporción del PIB. Además, se fortaleció el mercado de deuda local sostenible a través de la colocación de Bondes G. En el mercado interno, se refinanciaron 256 mil 257.4 millones de pesos; se recompraron instrumentos como Cetes, Bonos M y </w:t>
      </w:r>
      <w:proofErr w:type="spellStart"/>
      <w:r w:rsidRPr="00260513">
        <w:rPr>
          <w:rFonts w:ascii="Arial" w:eastAsia="Times New Roman" w:hAnsi="Arial" w:cs="Arial"/>
          <w:sz w:val="18"/>
          <w:szCs w:val="18"/>
          <w:lang w:eastAsia="es-ES"/>
        </w:rPr>
        <w:t>Udibonos</w:t>
      </w:r>
      <w:proofErr w:type="spellEnd"/>
      <w:r w:rsidRPr="00260513">
        <w:rPr>
          <w:rFonts w:ascii="Arial" w:eastAsia="Times New Roman" w:hAnsi="Arial" w:cs="Arial"/>
          <w:sz w:val="18"/>
          <w:szCs w:val="18"/>
          <w:lang w:eastAsia="es-ES"/>
        </w:rPr>
        <w:t xml:space="preserve"> con vencimientos entre 2025 y 2040; y se emitieron instrumentos con vencimientos entre 2027 y 2054.</w:t>
      </w:r>
    </w:p>
    <w:p w14:paraId="497E0F75" w14:textId="77777777" w:rsidR="00260513" w:rsidRPr="00260513" w:rsidRDefault="00260513" w:rsidP="00260513">
      <w:pPr>
        <w:tabs>
          <w:tab w:val="left" w:pos="284"/>
        </w:tabs>
        <w:ind w:left="284"/>
        <w:jc w:val="both"/>
        <w:rPr>
          <w:rFonts w:ascii="Arial" w:eastAsia="Times New Roman" w:hAnsi="Arial" w:cs="Arial"/>
          <w:sz w:val="18"/>
          <w:szCs w:val="18"/>
          <w:lang w:eastAsia="es-ES"/>
        </w:rPr>
      </w:pPr>
      <w:r w:rsidRPr="00260513">
        <w:rPr>
          <w:rFonts w:ascii="Arial" w:eastAsia="Times New Roman" w:hAnsi="Arial" w:cs="Arial"/>
          <w:sz w:val="18"/>
          <w:szCs w:val="18"/>
          <w:lang w:eastAsia="es-ES"/>
        </w:rPr>
        <w:t xml:space="preserve">Asimismo, el 30 de mayo se presentó la colocación sindicada de Bondes G, con la reapertura de bonos con plazos de dos, tres, y cinco años; por un monto de 13 mil 5.0 millones, 7 mil 650.0 millones, y 9 mil 345.0 millones de pesos, respectivamente. Además, el 12 de junio se realizó la colocación sindicada de una nueva referencia de Bonos M a 10 años por un monto de 15 mil millones de pesos, con vencimiento en febrero de 2036 y una tasa </w:t>
      </w:r>
      <w:r w:rsidRPr="00260513">
        <w:rPr>
          <w:rFonts w:ascii="Arial" w:eastAsia="Times New Roman" w:hAnsi="Arial" w:cs="Arial"/>
          <w:sz w:val="18"/>
          <w:szCs w:val="18"/>
          <w:lang w:eastAsia="es-ES"/>
        </w:rPr>
        <w:lastRenderedPageBreak/>
        <w:t xml:space="preserve">cupón de 8.0%. En el mercado externo, el 23 de junio se colocaron dos nuevos bonos de referencia, con vencimientos en 2032 y 2038, uno por un monto de 3 mil 950.0 millones de dólares con tasa cupón de 5.85%, y otro por un monto de 2 mil 850.0 millones de dólares con una tasa cupón de 6.625%. </w:t>
      </w:r>
    </w:p>
    <w:p w14:paraId="6CAE2ECB" w14:textId="77777777" w:rsidR="00260513" w:rsidRPr="00260513" w:rsidRDefault="00260513" w:rsidP="00260513">
      <w:pPr>
        <w:tabs>
          <w:tab w:val="left" w:pos="284"/>
        </w:tabs>
        <w:ind w:left="284"/>
        <w:jc w:val="both"/>
        <w:rPr>
          <w:rFonts w:ascii="Arial" w:eastAsia="Times New Roman" w:hAnsi="Arial" w:cs="Arial"/>
          <w:sz w:val="18"/>
          <w:szCs w:val="18"/>
          <w:lang w:eastAsia="es-ES"/>
        </w:rPr>
      </w:pPr>
      <w:r w:rsidRPr="00260513">
        <w:rPr>
          <w:rFonts w:ascii="Arial" w:eastAsia="Times New Roman" w:hAnsi="Arial" w:cs="Arial"/>
          <w:sz w:val="18"/>
          <w:szCs w:val="18"/>
          <w:lang w:eastAsia="es-ES"/>
        </w:rPr>
        <w:t>Además, se refinanciaron 2 mil 501.0 millones de dólares en bonos con vencimientos programados entre 2027 y 2031. Cabe mencionar que, todas las colocaciones de deuda se enmarcaron en el Programa Anual de Financiamiento 2025, se encuentran en línea con la Ley Federal de Deuda Pública y son congruentes con los techos de endeudamiento aprobados por el H. Congreso de la Unión para el ejercicio fiscal 2025.</w:t>
      </w:r>
    </w:p>
    <w:p w14:paraId="7146253E" w14:textId="77777777" w:rsidR="00260513" w:rsidRPr="00260513" w:rsidRDefault="00260513" w:rsidP="00260513">
      <w:pPr>
        <w:tabs>
          <w:tab w:val="left" w:pos="284"/>
        </w:tabs>
        <w:ind w:left="284"/>
        <w:jc w:val="both"/>
        <w:rPr>
          <w:rFonts w:ascii="Arial" w:eastAsia="Times New Roman" w:hAnsi="Arial" w:cs="Arial"/>
          <w:sz w:val="18"/>
          <w:szCs w:val="18"/>
          <w:lang w:eastAsia="es-ES"/>
        </w:rPr>
      </w:pPr>
      <w:r w:rsidRPr="00260513">
        <w:rPr>
          <w:rFonts w:ascii="Arial" w:eastAsia="Times New Roman" w:hAnsi="Arial" w:cs="Arial"/>
          <w:sz w:val="18"/>
          <w:szCs w:val="18"/>
          <w:lang w:eastAsia="es-ES"/>
        </w:rPr>
        <w:t>Al segundo trimestre de 2025, la deuda neta del Gobierno Federal se ubicó en 15 billones 867 mil 702.5 millones de pesos. La estructura del portafolio de la deuda mantuvo la mayor parte de sus pasivos denominados en moneda nacional, representando el 83.9% del saldo de la deuda neta del Gobierno Federal, al 30 de junio de 2025.</w:t>
      </w:r>
    </w:p>
    <w:p w14:paraId="145FAECE" w14:textId="77777777" w:rsidR="00260513" w:rsidRPr="00260513" w:rsidRDefault="00260513" w:rsidP="00260513">
      <w:pPr>
        <w:tabs>
          <w:tab w:val="left" w:pos="284"/>
        </w:tabs>
        <w:ind w:left="284"/>
        <w:jc w:val="both"/>
        <w:rPr>
          <w:rFonts w:ascii="Arial" w:eastAsia="Times New Roman" w:hAnsi="Arial" w:cs="Arial"/>
          <w:sz w:val="18"/>
          <w:szCs w:val="18"/>
          <w:lang w:eastAsia="es-ES"/>
        </w:rPr>
      </w:pPr>
      <w:r w:rsidRPr="00260513">
        <w:rPr>
          <w:rFonts w:ascii="Arial" w:eastAsia="Times New Roman" w:hAnsi="Arial" w:cs="Arial"/>
          <w:sz w:val="18"/>
          <w:szCs w:val="18"/>
          <w:lang w:eastAsia="es-ES"/>
        </w:rPr>
        <w:t xml:space="preserve">Al cierre del segundo trimestre de 2025, el saldo de la deuda interna neta del Gobierno Federal ascendió a 13 billones 319 mil 630.5 millones de pesos. La variación del saldo de la deuda interna respecto del cierre de 2024 fue el resultado de: </w:t>
      </w:r>
    </w:p>
    <w:p w14:paraId="67568969" w14:textId="73331F64" w:rsidR="00260513" w:rsidRDefault="00EF023B" w:rsidP="00201801">
      <w:pPr>
        <w:pStyle w:val="Prrafodelista"/>
        <w:numPr>
          <w:ilvl w:val="0"/>
          <w:numId w:val="20"/>
        </w:numPr>
        <w:tabs>
          <w:tab w:val="left" w:pos="284"/>
        </w:tabs>
        <w:jc w:val="both"/>
        <w:rPr>
          <w:rFonts w:ascii="Arial" w:eastAsia="Times New Roman" w:hAnsi="Arial" w:cs="Arial"/>
          <w:sz w:val="18"/>
          <w:szCs w:val="18"/>
          <w:lang w:eastAsia="es-ES"/>
        </w:rPr>
      </w:pPr>
      <w:r>
        <w:rPr>
          <w:rFonts w:ascii="Arial" w:eastAsia="Times New Roman" w:hAnsi="Arial" w:cs="Arial"/>
          <w:sz w:val="18"/>
          <w:szCs w:val="18"/>
          <w:lang w:eastAsia="es-ES"/>
        </w:rPr>
        <w:t>U</w:t>
      </w:r>
      <w:r w:rsidR="00260513" w:rsidRPr="00201801">
        <w:rPr>
          <w:rFonts w:ascii="Arial" w:eastAsia="Times New Roman" w:hAnsi="Arial" w:cs="Arial"/>
          <w:sz w:val="18"/>
          <w:szCs w:val="18"/>
          <w:lang w:eastAsia="es-ES"/>
        </w:rPr>
        <w:t xml:space="preserve">n endeudamiento interno neto por 583 mil 603.6 millones de pesos; </w:t>
      </w:r>
    </w:p>
    <w:p w14:paraId="09B9FAC0" w14:textId="77777777" w:rsidR="00201801" w:rsidRDefault="00201801" w:rsidP="00201801">
      <w:pPr>
        <w:pStyle w:val="Prrafodelista"/>
        <w:tabs>
          <w:tab w:val="left" w:pos="284"/>
        </w:tabs>
        <w:ind w:left="1004"/>
        <w:jc w:val="both"/>
        <w:rPr>
          <w:rFonts w:ascii="Arial" w:eastAsia="Times New Roman" w:hAnsi="Arial" w:cs="Arial"/>
          <w:sz w:val="18"/>
          <w:szCs w:val="18"/>
          <w:lang w:eastAsia="es-ES"/>
        </w:rPr>
      </w:pPr>
    </w:p>
    <w:p w14:paraId="7518EA0B" w14:textId="6A0860C6" w:rsidR="00260513" w:rsidRDefault="00EF023B" w:rsidP="00201801">
      <w:pPr>
        <w:pStyle w:val="Prrafodelista"/>
        <w:numPr>
          <w:ilvl w:val="0"/>
          <w:numId w:val="20"/>
        </w:numPr>
        <w:tabs>
          <w:tab w:val="left" w:pos="284"/>
        </w:tabs>
        <w:jc w:val="both"/>
        <w:rPr>
          <w:rFonts w:ascii="Arial" w:eastAsia="Times New Roman" w:hAnsi="Arial" w:cs="Arial"/>
          <w:sz w:val="18"/>
          <w:szCs w:val="18"/>
          <w:lang w:eastAsia="es-ES"/>
        </w:rPr>
      </w:pPr>
      <w:r>
        <w:rPr>
          <w:rFonts w:ascii="Arial" w:eastAsia="Times New Roman" w:hAnsi="Arial" w:cs="Arial"/>
          <w:sz w:val="18"/>
          <w:szCs w:val="18"/>
          <w:lang w:eastAsia="es-ES"/>
        </w:rPr>
        <w:t>U</w:t>
      </w:r>
      <w:r w:rsidR="00260513" w:rsidRPr="00201801">
        <w:rPr>
          <w:rFonts w:ascii="Arial" w:eastAsia="Times New Roman" w:hAnsi="Arial" w:cs="Arial"/>
          <w:sz w:val="18"/>
          <w:szCs w:val="18"/>
          <w:lang w:eastAsia="es-ES"/>
        </w:rPr>
        <w:t>n incremento en las disponibilidades del Gobierno Federal por 32 mil 335.8 millones de pesos; y,</w:t>
      </w:r>
    </w:p>
    <w:p w14:paraId="27AAFB1B" w14:textId="77777777" w:rsidR="00201801" w:rsidRPr="00201801" w:rsidRDefault="00201801" w:rsidP="00201801">
      <w:pPr>
        <w:pStyle w:val="Prrafodelista"/>
        <w:tabs>
          <w:tab w:val="left" w:pos="284"/>
        </w:tabs>
        <w:ind w:left="1004"/>
        <w:jc w:val="both"/>
        <w:rPr>
          <w:rFonts w:ascii="Arial" w:eastAsia="Times New Roman" w:hAnsi="Arial" w:cs="Arial"/>
          <w:sz w:val="18"/>
          <w:szCs w:val="18"/>
          <w:lang w:eastAsia="es-ES"/>
        </w:rPr>
      </w:pPr>
    </w:p>
    <w:p w14:paraId="0864F261" w14:textId="5CCA7A53" w:rsidR="00260513" w:rsidRPr="00201801" w:rsidRDefault="00EF023B" w:rsidP="00201801">
      <w:pPr>
        <w:pStyle w:val="Prrafodelista"/>
        <w:numPr>
          <w:ilvl w:val="0"/>
          <w:numId w:val="20"/>
        </w:numPr>
        <w:tabs>
          <w:tab w:val="left" w:pos="284"/>
        </w:tabs>
        <w:jc w:val="both"/>
        <w:rPr>
          <w:rFonts w:ascii="Arial" w:eastAsia="Times New Roman" w:hAnsi="Arial" w:cs="Arial"/>
          <w:sz w:val="18"/>
          <w:szCs w:val="18"/>
          <w:lang w:eastAsia="es-ES"/>
        </w:rPr>
      </w:pPr>
      <w:r>
        <w:rPr>
          <w:rFonts w:ascii="Arial" w:eastAsia="Times New Roman" w:hAnsi="Arial" w:cs="Arial"/>
          <w:sz w:val="18"/>
          <w:szCs w:val="18"/>
          <w:lang w:eastAsia="es-ES"/>
        </w:rPr>
        <w:t>A</w:t>
      </w:r>
      <w:r w:rsidR="00260513" w:rsidRPr="00201801">
        <w:rPr>
          <w:rFonts w:ascii="Arial" w:eastAsia="Times New Roman" w:hAnsi="Arial" w:cs="Arial"/>
          <w:sz w:val="18"/>
          <w:szCs w:val="18"/>
          <w:lang w:eastAsia="es-ES"/>
        </w:rPr>
        <w:t xml:space="preserve">justes contables positivos por 64 mil 569.8 millones de pesos, derivados del efecto inflacionario de la deuda interna indizada y del ajuste por las operaciones de permuta de deuda. </w:t>
      </w:r>
    </w:p>
    <w:p w14:paraId="2C879925" w14:textId="77777777" w:rsidR="00260513" w:rsidRPr="00260513" w:rsidRDefault="00260513" w:rsidP="00260513">
      <w:pPr>
        <w:tabs>
          <w:tab w:val="left" w:pos="284"/>
        </w:tabs>
        <w:ind w:left="284"/>
        <w:jc w:val="both"/>
        <w:rPr>
          <w:rFonts w:ascii="Arial" w:eastAsia="Times New Roman" w:hAnsi="Arial" w:cs="Arial"/>
          <w:sz w:val="18"/>
          <w:szCs w:val="18"/>
          <w:lang w:eastAsia="es-ES"/>
        </w:rPr>
      </w:pPr>
      <w:r w:rsidRPr="00260513">
        <w:rPr>
          <w:rFonts w:ascii="Arial" w:eastAsia="Times New Roman" w:hAnsi="Arial" w:cs="Arial"/>
          <w:sz w:val="18"/>
          <w:szCs w:val="18"/>
          <w:lang w:eastAsia="es-ES"/>
        </w:rPr>
        <w:t>Este desempeño fue congruente con el techo de endeudamiento interno neto aprobado por el H. Congreso de la Unión para 2025.</w:t>
      </w:r>
    </w:p>
    <w:p w14:paraId="609302FB" w14:textId="77777777" w:rsidR="00260513" w:rsidRPr="00260513" w:rsidRDefault="00260513" w:rsidP="00260513">
      <w:pPr>
        <w:tabs>
          <w:tab w:val="left" w:pos="284"/>
        </w:tabs>
        <w:ind w:left="284"/>
        <w:jc w:val="both"/>
        <w:rPr>
          <w:rFonts w:ascii="Arial" w:eastAsia="Times New Roman" w:hAnsi="Arial" w:cs="Arial"/>
          <w:sz w:val="18"/>
          <w:szCs w:val="18"/>
          <w:lang w:eastAsia="es-ES"/>
        </w:rPr>
      </w:pPr>
      <w:r w:rsidRPr="00260513">
        <w:rPr>
          <w:rFonts w:ascii="Arial" w:eastAsia="Times New Roman" w:hAnsi="Arial" w:cs="Arial"/>
          <w:sz w:val="18"/>
          <w:szCs w:val="18"/>
          <w:lang w:eastAsia="es-ES"/>
        </w:rPr>
        <w:t>En cuanto a la composición de la deuda interna del Gobierno Federal, al cierre del segundo trimestre de 2025, el 48.9% se encontró contratada en instrumentos a tasa nominal fija y de largo plazo. Adicionalmente, como resultado de la colocación de instrumentos a largo plazo al cierre del segundo trimestre de 2025, se observó una participación de 80.0% de los valores a tasa fija nominal y real a plazo mayor de un año en el saldo de valores gubernamentales. Por su parte, el plazo promedio de vencimiento de valores gubernamentales emitidos en el mercado local a junio de 2025 fue de 8.0 años.</w:t>
      </w:r>
    </w:p>
    <w:p w14:paraId="54BF9BAB" w14:textId="77777777" w:rsidR="00260513" w:rsidRPr="00260513" w:rsidRDefault="00260513" w:rsidP="00260513">
      <w:pPr>
        <w:tabs>
          <w:tab w:val="left" w:pos="284"/>
        </w:tabs>
        <w:ind w:left="284"/>
        <w:jc w:val="both"/>
        <w:rPr>
          <w:rFonts w:ascii="Arial" w:eastAsia="Times New Roman" w:hAnsi="Arial" w:cs="Arial"/>
          <w:sz w:val="18"/>
          <w:szCs w:val="18"/>
          <w:lang w:eastAsia="es-ES"/>
        </w:rPr>
      </w:pPr>
      <w:r w:rsidRPr="00260513">
        <w:rPr>
          <w:rFonts w:ascii="Arial" w:eastAsia="Times New Roman" w:hAnsi="Arial" w:cs="Arial"/>
          <w:sz w:val="18"/>
          <w:szCs w:val="18"/>
          <w:lang w:eastAsia="es-ES"/>
        </w:rPr>
        <w:t xml:space="preserve">Entre los cierres de 2024 y junio de 2025, los </w:t>
      </w:r>
      <w:proofErr w:type="spellStart"/>
      <w:r w:rsidRPr="00260513">
        <w:rPr>
          <w:rFonts w:ascii="Arial" w:eastAsia="Times New Roman" w:hAnsi="Arial" w:cs="Arial"/>
          <w:sz w:val="18"/>
          <w:szCs w:val="18"/>
          <w:lang w:eastAsia="es-ES"/>
        </w:rPr>
        <w:t>Udibonos</w:t>
      </w:r>
      <w:proofErr w:type="spellEnd"/>
      <w:r w:rsidRPr="00260513">
        <w:rPr>
          <w:rFonts w:ascii="Arial" w:eastAsia="Times New Roman" w:hAnsi="Arial" w:cs="Arial"/>
          <w:sz w:val="18"/>
          <w:szCs w:val="18"/>
          <w:lang w:eastAsia="es-ES"/>
        </w:rPr>
        <w:t xml:space="preserve"> incrementaron su participación en el saldo total de los valores gubernamentales al pasar de 30.2% a 31.0%, al igual que los Bondes G al pasar de 1.0% a 1.4% y los Bonos Tasa Fija Bono M que pasaron de 37.6% a 38.0%. Por su parte, la participación de los Cetes disminuyó de 14.5% a 14.1%, al igual que los Bondes F que pasaron de 15.5% a 14.8% y los Bondes D que pasaron de 1.0% a 0.5%. Mientras tanto, los Bonos Tasa Fija Bono MS, durante el periodo, permanecieron sin cambio en 0.2%. Con respecto al perfil de amortizaciones de la deuda interna del Gobierno Federal, de acuerdo con su saldo contractual registrado al 30 de junio de 2025, se espera que, durante el resto del año (julio a diciembre de 2025), las amortizaciones alcancen un monto de 1 billón 345 mil 54.1 millones de pesos. Del total de amortizaciones, sin incluir Cetes, 556 mil 91.7 millones de pesos se encuentran asociadas a los vencimientos de valores gubernamentales, cuyo refinanciamiento se realizará a través del programa de subastas que lleva a cabo el Gobierno Federal.</w:t>
      </w:r>
    </w:p>
    <w:p w14:paraId="5515361E" w14:textId="77777777" w:rsidR="00260513" w:rsidRPr="00260513" w:rsidRDefault="00260513" w:rsidP="00260513">
      <w:pPr>
        <w:tabs>
          <w:tab w:val="left" w:pos="284"/>
        </w:tabs>
        <w:ind w:left="284"/>
        <w:jc w:val="both"/>
        <w:rPr>
          <w:rFonts w:ascii="Arial" w:eastAsia="Times New Roman" w:hAnsi="Arial" w:cs="Arial"/>
          <w:sz w:val="18"/>
          <w:szCs w:val="18"/>
          <w:lang w:eastAsia="es-ES"/>
        </w:rPr>
      </w:pPr>
      <w:r w:rsidRPr="00260513">
        <w:rPr>
          <w:rFonts w:ascii="Arial" w:eastAsia="Times New Roman" w:hAnsi="Arial" w:cs="Arial"/>
          <w:sz w:val="18"/>
          <w:szCs w:val="18"/>
          <w:lang w:eastAsia="es-ES"/>
        </w:rPr>
        <w:t xml:space="preserve">Al cierre del segundo trimestre de 2025, el saldo de la deuda externa neta del Gobierno Federal fue de 134 mil 870.0 millones de dólares. La evolución de la deuda externa neta del Gobierno Federal durante el periodo enero a junio de 2025 fue resultado de los siguientes factores: </w:t>
      </w:r>
    </w:p>
    <w:p w14:paraId="43594A5A" w14:textId="77777777" w:rsidR="00260513" w:rsidRPr="00260513" w:rsidRDefault="00260513" w:rsidP="00260513">
      <w:pPr>
        <w:tabs>
          <w:tab w:val="left" w:pos="284"/>
        </w:tabs>
        <w:ind w:left="284"/>
        <w:jc w:val="both"/>
        <w:rPr>
          <w:rFonts w:ascii="Arial" w:eastAsia="Times New Roman" w:hAnsi="Arial" w:cs="Arial"/>
          <w:sz w:val="18"/>
          <w:szCs w:val="18"/>
          <w:lang w:eastAsia="es-ES"/>
        </w:rPr>
      </w:pPr>
      <w:r w:rsidRPr="00260513">
        <w:rPr>
          <w:rFonts w:ascii="Arial" w:eastAsia="Times New Roman" w:hAnsi="Arial" w:cs="Arial"/>
          <w:sz w:val="18"/>
          <w:szCs w:val="18"/>
          <w:lang w:eastAsia="es-ES"/>
        </w:rPr>
        <w:sym w:font="Symbol" w:char="F0B7"/>
      </w:r>
      <w:r w:rsidRPr="00260513">
        <w:rPr>
          <w:rFonts w:ascii="Arial" w:eastAsia="Times New Roman" w:hAnsi="Arial" w:cs="Arial"/>
          <w:sz w:val="18"/>
          <w:szCs w:val="18"/>
          <w:lang w:eastAsia="es-ES"/>
        </w:rPr>
        <w:t xml:space="preserve"> Endeudamiento externo neto de 10 mil 772.7 millones de dólares, derivado de disposiciones por 12 mil 904.6 millones de dólares y amortizaciones por 2 mil 131.9 millones de dólares. </w:t>
      </w:r>
    </w:p>
    <w:p w14:paraId="5D2E48B8" w14:textId="77777777" w:rsidR="00260513" w:rsidRPr="00260513" w:rsidRDefault="00260513" w:rsidP="00260513">
      <w:pPr>
        <w:tabs>
          <w:tab w:val="left" w:pos="284"/>
        </w:tabs>
        <w:ind w:left="284"/>
        <w:jc w:val="both"/>
        <w:rPr>
          <w:rFonts w:ascii="Arial" w:eastAsia="Times New Roman" w:hAnsi="Arial" w:cs="Arial"/>
          <w:sz w:val="18"/>
          <w:szCs w:val="18"/>
          <w:lang w:eastAsia="es-ES"/>
        </w:rPr>
      </w:pPr>
      <w:r w:rsidRPr="00260513">
        <w:rPr>
          <w:rFonts w:ascii="Arial" w:eastAsia="Times New Roman" w:hAnsi="Arial" w:cs="Arial"/>
          <w:sz w:val="18"/>
          <w:szCs w:val="18"/>
          <w:lang w:eastAsia="es-ES"/>
        </w:rPr>
        <w:sym w:font="Symbol" w:char="F0B7"/>
      </w:r>
      <w:r w:rsidRPr="00260513">
        <w:rPr>
          <w:rFonts w:ascii="Arial" w:eastAsia="Times New Roman" w:hAnsi="Arial" w:cs="Arial"/>
          <w:sz w:val="18"/>
          <w:szCs w:val="18"/>
          <w:lang w:eastAsia="es-ES"/>
        </w:rPr>
        <w:t xml:space="preserve"> Incremento de los activos internacionales del Gobierno Federal asociados a la deuda externa por 4 mil 532.9 millones de dólares con respecto al cierre de 2024. Este cambio se debe a la variación en el saldo neto denominado en dólares de la Cuenta General de la Tesorería de la Federación. </w:t>
      </w:r>
    </w:p>
    <w:p w14:paraId="0739F9C8" w14:textId="77777777" w:rsidR="00260513" w:rsidRPr="00260513" w:rsidRDefault="00260513" w:rsidP="00260513">
      <w:pPr>
        <w:tabs>
          <w:tab w:val="left" w:pos="284"/>
        </w:tabs>
        <w:ind w:left="284"/>
        <w:jc w:val="both"/>
        <w:rPr>
          <w:rFonts w:ascii="Arial" w:eastAsia="Times New Roman" w:hAnsi="Arial" w:cs="Arial"/>
          <w:sz w:val="18"/>
          <w:szCs w:val="18"/>
          <w:lang w:eastAsia="es-ES"/>
        </w:rPr>
      </w:pPr>
      <w:r w:rsidRPr="00260513">
        <w:rPr>
          <w:rFonts w:ascii="Arial" w:eastAsia="Times New Roman" w:hAnsi="Arial" w:cs="Arial"/>
          <w:sz w:val="18"/>
          <w:szCs w:val="18"/>
          <w:lang w:eastAsia="es-ES"/>
        </w:rPr>
        <w:lastRenderedPageBreak/>
        <w:sym w:font="Symbol" w:char="F0B7"/>
      </w:r>
      <w:r w:rsidRPr="00260513">
        <w:rPr>
          <w:rFonts w:ascii="Arial" w:eastAsia="Times New Roman" w:hAnsi="Arial" w:cs="Arial"/>
          <w:sz w:val="18"/>
          <w:szCs w:val="18"/>
          <w:lang w:eastAsia="es-ES"/>
        </w:rPr>
        <w:t xml:space="preserve"> Ajustes contables positivos por 4 mil 751.2 millones de dólares, derivados principalmente de la variación del dólar con respecto a otras monedas en las que se encuentra contratada la deuda.</w:t>
      </w:r>
    </w:p>
    <w:p w14:paraId="1059DCAE" w14:textId="77777777" w:rsidR="00260513" w:rsidRPr="00260513" w:rsidRDefault="00260513" w:rsidP="00260513">
      <w:pPr>
        <w:tabs>
          <w:tab w:val="left" w:pos="284"/>
        </w:tabs>
        <w:ind w:left="284"/>
        <w:jc w:val="both"/>
        <w:rPr>
          <w:rFonts w:ascii="Arial" w:eastAsia="Times New Roman" w:hAnsi="Arial" w:cs="Arial"/>
          <w:sz w:val="18"/>
          <w:szCs w:val="18"/>
          <w:lang w:eastAsia="es-ES"/>
        </w:rPr>
      </w:pPr>
      <w:r w:rsidRPr="00260513">
        <w:rPr>
          <w:rFonts w:ascii="Arial" w:eastAsia="Times New Roman" w:hAnsi="Arial" w:cs="Arial"/>
          <w:sz w:val="18"/>
          <w:szCs w:val="18"/>
          <w:lang w:eastAsia="es-ES"/>
        </w:rPr>
        <w:t>Con respecto al perfil de amortizaciones de la deuda externa del Gobierno Federal, con base en su saldo contractual al 30 de junio de 2025, se espera que, las amortizaciones durante el resto del año (julio a diciembre de 2025), asciendan a 2 mil 842.0 millones de dólares, los cuales se encuentran asociados, principalmente, a los vencimientos de créditos contratados con los Organismos Financieros Internacionales (</w:t>
      </w:r>
      <w:proofErr w:type="spellStart"/>
      <w:r w:rsidRPr="00260513">
        <w:rPr>
          <w:rFonts w:ascii="Arial" w:eastAsia="Times New Roman" w:hAnsi="Arial" w:cs="Arial"/>
          <w:sz w:val="18"/>
          <w:szCs w:val="18"/>
          <w:lang w:eastAsia="es-ES"/>
        </w:rPr>
        <w:t>OFIs</w:t>
      </w:r>
      <w:proofErr w:type="spellEnd"/>
      <w:r w:rsidRPr="00260513">
        <w:rPr>
          <w:rFonts w:ascii="Arial" w:eastAsia="Times New Roman" w:hAnsi="Arial" w:cs="Arial"/>
          <w:sz w:val="18"/>
          <w:szCs w:val="18"/>
          <w:lang w:eastAsia="es-ES"/>
        </w:rPr>
        <w:t>).</w:t>
      </w:r>
    </w:p>
    <w:p w14:paraId="0DDF817D" w14:textId="77777777" w:rsidR="00260513" w:rsidRPr="00260513" w:rsidRDefault="00260513" w:rsidP="00260513">
      <w:pPr>
        <w:tabs>
          <w:tab w:val="left" w:pos="284"/>
        </w:tabs>
        <w:ind w:left="284"/>
        <w:jc w:val="both"/>
        <w:rPr>
          <w:rFonts w:ascii="Arial" w:eastAsia="Times New Roman" w:hAnsi="Arial" w:cs="Arial"/>
          <w:sz w:val="18"/>
          <w:szCs w:val="18"/>
          <w:lang w:eastAsia="es-ES"/>
        </w:rPr>
      </w:pPr>
      <w:r w:rsidRPr="00260513">
        <w:rPr>
          <w:rFonts w:ascii="Arial" w:eastAsia="Times New Roman" w:hAnsi="Arial" w:cs="Arial"/>
          <w:sz w:val="18"/>
          <w:szCs w:val="18"/>
          <w:lang w:eastAsia="es-ES"/>
        </w:rPr>
        <w:t>En el segundo trimestre de 2025, el Gobierno Federal realizó erogaciones por concepto de costo financiero neto total de su deuda por 324 mil 120.8 millones de pesos (Ramo 24). Con ello, el total de pagos durante el primer semestre de 2025 por dicho concepto ascendió a 545 mil 268.6 millones de pesos. Esta cifra comprende erogaciones por 484 mil 878.0 millones de pesos para el pago de intereses y gastos asociados a la deuda interna, la cual incluye un monto de 19 mil 83.5 millones de pesos para el pago anticipado de intereses derivados del intercambio de deuda a través de las operaciones de permuta de deuda, así como erogaciones por un monto de 3 mil 370.2 millones de dólares para cubrir el pago por concepto de intereses, comisiones y gastos asociados a la deuda externa.</w:t>
      </w:r>
    </w:p>
    <w:p w14:paraId="475081FF" w14:textId="77777777" w:rsidR="00260513" w:rsidRPr="00260513" w:rsidRDefault="00260513" w:rsidP="00260513">
      <w:pPr>
        <w:tabs>
          <w:tab w:val="left" w:pos="284"/>
        </w:tabs>
        <w:ind w:left="284"/>
        <w:jc w:val="both"/>
        <w:rPr>
          <w:rFonts w:ascii="Arial" w:eastAsia="Times New Roman" w:hAnsi="Arial" w:cs="Arial"/>
          <w:sz w:val="18"/>
          <w:szCs w:val="18"/>
          <w:lang w:eastAsia="es-ES"/>
        </w:rPr>
      </w:pPr>
      <w:r w:rsidRPr="00260513">
        <w:rPr>
          <w:rFonts w:ascii="Arial" w:eastAsia="Times New Roman" w:hAnsi="Arial" w:cs="Arial"/>
          <w:sz w:val="18"/>
          <w:szCs w:val="18"/>
          <w:lang w:eastAsia="es-ES"/>
        </w:rPr>
        <w:t>Adicionalmente, durante el segundo trimestre de 2025, el Gobierno Federal realizó erogaciones para los Programas de Apoyo a Ahorradores y Deudores de la Banca (Ramo 34), por un monto de 26 mil 226.0 millones de pesos, por lo que, el total pagado por este concepto en el periodo de enero a junio de 2025 fue de 52 mil 451.9 millones de pesos. Estos recursos se destinaron al Programa de Apoyo a Ahorradores a través del IPAB.</w:t>
      </w:r>
    </w:p>
    <w:p w14:paraId="3E026D0B" w14:textId="77777777" w:rsidR="00260513" w:rsidRPr="00260513" w:rsidRDefault="00260513" w:rsidP="00260513">
      <w:pPr>
        <w:tabs>
          <w:tab w:val="left" w:pos="284"/>
        </w:tabs>
        <w:ind w:left="284"/>
        <w:jc w:val="both"/>
        <w:rPr>
          <w:rFonts w:ascii="Arial" w:eastAsia="Times New Roman" w:hAnsi="Arial" w:cs="Arial"/>
          <w:sz w:val="18"/>
          <w:szCs w:val="18"/>
          <w:lang w:eastAsia="es-ES"/>
        </w:rPr>
      </w:pPr>
      <w:r w:rsidRPr="00260513">
        <w:rPr>
          <w:rFonts w:ascii="Arial" w:eastAsia="Times New Roman" w:hAnsi="Arial" w:cs="Arial"/>
          <w:sz w:val="18"/>
          <w:szCs w:val="18"/>
          <w:lang w:eastAsia="es-ES"/>
        </w:rPr>
        <w:t>La estrategia de manejo del portafolio de deuda prioriza el financiamiento en el mercado interno, a tasas de interés fijas y de largo plazo. Asimismo, como parte de la gestión de riesgos, se busca contar con un portafolio de deuda diversificado en términos de divisas, así como llevar a cabo la implementación del programa de coberturas. Estas acciones mantienen acotada la sensibilidad del costo financiero de la deuda ante incrementos en la tasa de interés y el tipo de cambio, y favorecen a un portafolio sostenible, sólido y resistente ante choques externos. Las tasas implícitas de costo financiero estimadas para 2025 son 7.04%, 7.18% y 6.36% para el costo total del Ramo 24, el costo interno y el costo externo, respectivamente. Si sólo se toma en cuenta la deuda externa, el costo externo implícito es de 5.20%.</w:t>
      </w:r>
    </w:p>
    <w:p w14:paraId="63F0984F" w14:textId="77777777" w:rsidR="00260513" w:rsidRPr="00260513" w:rsidRDefault="00260513" w:rsidP="00260513">
      <w:pPr>
        <w:tabs>
          <w:tab w:val="left" w:pos="284"/>
        </w:tabs>
        <w:ind w:left="284"/>
        <w:jc w:val="both"/>
        <w:rPr>
          <w:rFonts w:ascii="Arial" w:eastAsia="Times New Roman" w:hAnsi="Arial" w:cs="Arial"/>
          <w:sz w:val="18"/>
          <w:szCs w:val="18"/>
          <w:lang w:eastAsia="es-ES"/>
        </w:rPr>
      </w:pPr>
      <w:r w:rsidRPr="00260513">
        <w:rPr>
          <w:rFonts w:ascii="Arial" w:eastAsia="Times New Roman" w:hAnsi="Arial" w:cs="Arial"/>
          <w:sz w:val="18"/>
          <w:szCs w:val="18"/>
          <w:lang w:eastAsia="es-ES"/>
        </w:rPr>
        <w:t xml:space="preserve">Al cierre del segundo trimestre de 2025, el saldo de la deuda con garantía explícita del Gobierno Federal se ubicó en 222 mil 128.1 millones de pesos, monto superior en 4 mil 179.2 millones de pesos al observado al cierre del año anterior. Dentro de los Programas de Apoyo a Deudores se encuentra el Programa de Reestructuración en </w:t>
      </w:r>
      <w:proofErr w:type="spellStart"/>
      <w:r w:rsidRPr="00260513">
        <w:rPr>
          <w:rFonts w:ascii="Arial" w:eastAsia="Times New Roman" w:hAnsi="Arial" w:cs="Arial"/>
          <w:sz w:val="18"/>
          <w:szCs w:val="18"/>
          <w:lang w:eastAsia="es-ES"/>
        </w:rPr>
        <w:t>Udis</w:t>
      </w:r>
      <w:proofErr w:type="spellEnd"/>
      <w:r w:rsidRPr="00260513">
        <w:rPr>
          <w:rFonts w:ascii="Arial" w:eastAsia="Times New Roman" w:hAnsi="Arial" w:cs="Arial"/>
          <w:sz w:val="18"/>
          <w:szCs w:val="18"/>
          <w:lang w:eastAsia="es-ES"/>
        </w:rPr>
        <w:t>, mediante el cual se ofrecieron tasas reales fijas a los acreditados durante toda la vida de sus créditos, lo que requirió que el Gobierno Federal realizara un intercambio entre esta tasa y una tasa nominal de mercado. Al 30 de junio de 2025, el resultado preliminar de este intercambio ascendió a 33 mil 207.6 millones de pesos, mismos que no están incorporados en las obligaciones garantizadas reportadas por el Gobierno Federal, ya que su evolución futura es contingente al comportamiento de las tasas de interés.</w:t>
      </w:r>
    </w:p>
    <w:p w14:paraId="1FBA2C64" w14:textId="77777777" w:rsidR="00260513" w:rsidRPr="00260513" w:rsidRDefault="00260513" w:rsidP="00260513">
      <w:pPr>
        <w:tabs>
          <w:tab w:val="left" w:pos="284"/>
        </w:tabs>
        <w:ind w:left="284"/>
        <w:jc w:val="both"/>
        <w:rPr>
          <w:rFonts w:ascii="Arial" w:eastAsia="Times New Roman" w:hAnsi="Arial" w:cs="Arial"/>
          <w:sz w:val="18"/>
          <w:szCs w:val="18"/>
          <w:lang w:eastAsia="es-ES"/>
        </w:rPr>
      </w:pPr>
      <w:r w:rsidRPr="00260513">
        <w:rPr>
          <w:rFonts w:ascii="Arial" w:eastAsia="Times New Roman" w:hAnsi="Arial" w:cs="Arial"/>
          <w:sz w:val="18"/>
          <w:szCs w:val="18"/>
          <w:lang w:eastAsia="es-ES"/>
        </w:rPr>
        <w:t>Al cierre del segundo trimestre de 2025, el monto de la deuda neta del Sector Público Federal (Gobierno Federal, Empresas Públicas del Estado y la banca de desarrollo), se situó en 18 billones 71 mil 523.8 millones de pesos. En los Apéndices Estadísticos de Finanzas Públicas y Deuda Pública se presentan los cuadros del I.43 al I.55 donde se podrá consultar en detalle el comportamiento de la deuda del Sector Público Federal.</w:t>
      </w:r>
    </w:p>
    <w:p w14:paraId="41190148" w14:textId="77777777" w:rsidR="00260513" w:rsidRPr="00260513" w:rsidRDefault="00260513" w:rsidP="00260513">
      <w:pPr>
        <w:tabs>
          <w:tab w:val="left" w:pos="284"/>
        </w:tabs>
        <w:ind w:left="284"/>
        <w:jc w:val="both"/>
        <w:rPr>
          <w:rFonts w:ascii="Arial" w:eastAsia="Times New Roman" w:hAnsi="Arial" w:cs="Arial"/>
          <w:sz w:val="18"/>
          <w:szCs w:val="18"/>
          <w:lang w:eastAsia="es-ES"/>
        </w:rPr>
      </w:pPr>
      <w:r w:rsidRPr="00260513">
        <w:rPr>
          <w:rFonts w:ascii="Arial" w:eastAsia="Times New Roman" w:hAnsi="Arial" w:cs="Arial"/>
          <w:sz w:val="18"/>
          <w:szCs w:val="18"/>
          <w:lang w:eastAsia="es-ES"/>
        </w:rPr>
        <w:t xml:space="preserve">Al finalizar el segundo trimestre de 2025, el saldo de la deuda interna neta del Sector Público Federal se ubicó en 13 billones 680 mil 239.8 millones de pesos. La variación de este saldo al segundo trimestre de 2025, respecto al cierre de 2024, fue el resultado de los siguientes factores: i) un endeudamiento interno neto por 586 mil 646.4 millones de pesos; </w:t>
      </w:r>
      <w:proofErr w:type="spellStart"/>
      <w:r w:rsidRPr="00260513">
        <w:rPr>
          <w:rFonts w:ascii="Arial" w:eastAsia="Times New Roman" w:hAnsi="Arial" w:cs="Arial"/>
          <w:sz w:val="18"/>
          <w:szCs w:val="18"/>
          <w:lang w:eastAsia="es-ES"/>
        </w:rPr>
        <w:t>ii</w:t>
      </w:r>
      <w:proofErr w:type="spellEnd"/>
      <w:r w:rsidRPr="00260513">
        <w:rPr>
          <w:rFonts w:ascii="Arial" w:eastAsia="Times New Roman" w:hAnsi="Arial" w:cs="Arial"/>
          <w:sz w:val="18"/>
          <w:szCs w:val="18"/>
          <w:lang w:eastAsia="es-ES"/>
        </w:rPr>
        <w:t xml:space="preserve">) una variación positiva en los activos internos del Sector Público Federal por 102 mil 316.7 millones de pesos y </w:t>
      </w:r>
      <w:proofErr w:type="spellStart"/>
      <w:r w:rsidRPr="00260513">
        <w:rPr>
          <w:rFonts w:ascii="Arial" w:eastAsia="Times New Roman" w:hAnsi="Arial" w:cs="Arial"/>
          <w:sz w:val="18"/>
          <w:szCs w:val="18"/>
          <w:lang w:eastAsia="es-ES"/>
        </w:rPr>
        <w:t>iii</w:t>
      </w:r>
      <w:proofErr w:type="spellEnd"/>
      <w:r w:rsidRPr="00260513">
        <w:rPr>
          <w:rFonts w:ascii="Arial" w:eastAsia="Times New Roman" w:hAnsi="Arial" w:cs="Arial"/>
          <w:sz w:val="18"/>
          <w:szCs w:val="18"/>
          <w:lang w:eastAsia="es-ES"/>
        </w:rPr>
        <w:t>) ajustes contables positivos por 66 mil 374.9 millones de pesos, que reflejaron, principalmente, el efecto inflacionario sobre los pasivos indizados a esta variable y operaciones de permuta de deuda.</w:t>
      </w:r>
    </w:p>
    <w:p w14:paraId="4756FCEE" w14:textId="77777777" w:rsidR="00260513" w:rsidRPr="00260513" w:rsidRDefault="00260513" w:rsidP="00260513">
      <w:pPr>
        <w:tabs>
          <w:tab w:val="left" w:pos="284"/>
        </w:tabs>
        <w:ind w:left="284"/>
        <w:jc w:val="both"/>
        <w:rPr>
          <w:rFonts w:ascii="Arial" w:eastAsia="Times New Roman" w:hAnsi="Arial" w:cs="Arial"/>
          <w:sz w:val="18"/>
          <w:szCs w:val="18"/>
          <w:lang w:eastAsia="es-ES"/>
        </w:rPr>
      </w:pPr>
      <w:r w:rsidRPr="00260513">
        <w:rPr>
          <w:rFonts w:ascii="Arial" w:eastAsia="Times New Roman" w:hAnsi="Arial" w:cs="Arial"/>
          <w:sz w:val="18"/>
          <w:szCs w:val="18"/>
          <w:lang w:eastAsia="es-ES"/>
        </w:rPr>
        <w:t xml:space="preserve">Al término del segundo trimestre de 2025, el saldo de la deuda externa neta del Sector Público Federal se ubicó en 232 mil 431.6 millones de dólares. La evolución de la deuda externa neta del Sector Público Federal fue resultado de los siguientes factores: </w:t>
      </w:r>
    </w:p>
    <w:p w14:paraId="6C01CA2A" w14:textId="162C586F" w:rsidR="00260513" w:rsidRDefault="00EF023B" w:rsidP="00201801">
      <w:pPr>
        <w:pStyle w:val="Prrafodelista"/>
        <w:numPr>
          <w:ilvl w:val="0"/>
          <w:numId w:val="21"/>
        </w:numPr>
        <w:tabs>
          <w:tab w:val="left" w:pos="284"/>
        </w:tabs>
        <w:jc w:val="both"/>
        <w:rPr>
          <w:rFonts w:ascii="Arial" w:eastAsia="Times New Roman" w:hAnsi="Arial" w:cs="Arial"/>
          <w:sz w:val="18"/>
          <w:szCs w:val="18"/>
          <w:lang w:eastAsia="es-ES"/>
        </w:rPr>
      </w:pPr>
      <w:r>
        <w:rPr>
          <w:rFonts w:ascii="Arial" w:eastAsia="Times New Roman" w:hAnsi="Arial" w:cs="Arial"/>
          <w:sz w:val="18"/>
          <w:szCs w:val="18"/>
          <w:lang w:eastAsia="es-ES"/>
        </w:rPr>
        <w:t>U</w:t>
      </w:r>
      <w:r w:rsidR="00260513" w:rsidRPr="00201801">
        <w:rPr>
          <w:rFonts w:ascii="Arial" w:eastAsia="Times New Roman" w:hAnsi="Arial" w:cs="Arial"/>
          <w:sz w:val="18"/>
          <w:szCs w:val="18"/>
          <w:lang w:eastAsia="es-ES"/>
        </w:rPr>
        <w:t>n endeudamiento externo neto de 13 mil 498.6 millones de dólares;</w:t>
      </w:r>
    </w:p>
    <w:p w14:paraId="22FE1BDB" w14:textId="77777777" w:rsidR="00201801" w:rsidRPr="00201801" w:rsidRDefault="00201801" w:rsidP="00201801">
      <w:pPr>
        <w:pStyle w:val="Prrafodelista"/>
        <w:tabs>
          <w:tab w:val="left" w:pos="284"/>
        </w:tabs>
        <w:ind w:left="1004"/>
        <w:jc w:val="both"/>
        <w:rPr>
          <w:rFonts w:ascii="Arial" w:eastAsia="Times New Roman" w:hAnsi="Arial" w:cs="Arial"/>
          <w:sz w:val="18"/>
          <w:szCs w:val="18"/>
          <w:lang w:eastAsia="es-ES"/>
        </w:rPr>
      </w:pPr>
    </w:p>
    <w:p w14:paraId="1E1BE79F" w14:textId="1D7CA02C" w:rsidR="00201801" w:rsidRDefault="00EF023B" w:rsidP="001E1465">
      <w:pPr>
        <w:pStyle w:val="Prrafodelista"/>
        <w:numPr>
          <w:ilvl w:val="0"/>
          <w:numId w:val="21"/>
        </w:numPr>
        <w:tabs>
          <w:tab w:val="left" w:pos="284"/>
        </w:tabs>
        <w:jc w:val="both"/>
        <w:rPr>
          <w:rFonts w:ascii="Arial" w:eastAsia="Times New Roman" w:hAnsi="Arial" w:cs="Arial"/>
          <w:sz w:val="18"/>
          <w:szCs w:val="18"/>
          <w:lang w:eastAsia="es-ES"/>
        </w:rPr>
      </w:pPr>
      <w:r>
        <w:rPr>
          <w:rFonts w:ascii="Arial" w:eastAsia="Times New Roman" w:hAnsi="Arial" w:cs="Arial"/>
          <w:sz w:val="18"/>
          <w:szCs w:val="18"/>
          <w:lang w:eastAsia="es-ES"/>
        </w:rPr>
        <w:t>L</w:t>
      </w:r>
      <w:r w:rsidR="00260513" w:rsidRPr="00201801">
        <w:rPr>
          <w:rFonts w:ascii="Arial" w:eastAsia="Times New Roman" w:hAnsi="Arial" w:cs="Arial"/>
          <w:sz w:val="18"/>
          <w:szCs w:val="18"/>
          <w:lang w:eastAsia="es-ES"/>
        </w:rPr>
        <w:t xml:space="preserve">os activos internacionales del Sector Público Federal asociados a la deuda externa presentaron una variación positiva de 5 mil 100.5 millones de dólares, y </w:t>
      </w:r>
    </w:p>
    <w:p w14:paraId="2F917F34" w14:textId="77777777" w:rsidR="00201801" w:rsidRPr="00201801" w:rsidRDefault="00201801" w:rsidP="00201801">
      <w:pPr>
        <w:pStyle w:val="Prrafodelista"/>
        <w:rPr>
          <w:rFonts w:ascii="Arial" w:eastAsia="Times New Roman" w:hAnsi="Arial" w:cs="Arial"/>
          <w:sz w:val="18"/>
          <w:szCs w:val="18"/>
          <w:lang w:eastAsia="es-ES"/>
        </w:rPr>
      </w:pPr>
    </w:p>
    <w:p w14:paraId="6A9CF4AA" w14:textId="5A361D44" w:rsidR="00260513" w:rsidRPr="00201801" w:rsidRDefault="00EF023B" w:rsidP="001E1465">
      <w:pPr>
        <w:pStyle w:val="Prrafodelista"/>
        <w:numPr>
          <w:ilvl w:val="0"/>
          <w:numId w:val="21"/>
        </w:numPr>
        <w:tabs>
          <w:tab w:val="left" w:pos="284"/>
        </w:tabs>
        <w:jc w:val="both"/>
        <w:rPr>
          <w:rFonts w:ascii="Arial" w:eastAsia="Times New Roman" w:hAnsi="Arial" w:cs="Arial"/>
          <w:sz w:val="18"/>
          <w:szCs w:val="18"/>
          <w:lang w:eastAsia="es-ES"/>
        </w:rPr>
      </w:pPr>
      <w:r>
        <w:rPr>
          <w:rFonts w:ascii="Arial" w:eastAsia="Times New Roman" w:hAnsi="Arial" w:cs="Arial"/>
          <w:sz w:val="18"/>
          <w:szCs w:val="18"/>
          <w:lang w:eastAsia="es-ES"/>
        </w:rPr>
        <w:t>A</w:t>
      </w:r>
      <w:r w:rsidR="00260513" w:rsidRPr="00201801">
        <w:rPr>
          <w:rFonts w:ascii="Arial" w:eastAsia="Times New Roman" w:hAnsi="Arial" w:cs="Arial"/>
          <w:sz w:val="18"/>
          <w:szCs w:val="18"/>
          <w:lang w:eastAsia="es-ES"/>
        </w:rPr>
        <w:t>justes contables positivos por 5 mil 706.8 millones de dólares, que reflejaron, principalmente, la variación del dólar con respecto a otras monedas en las que se encuentra contratada la deuda.</w:t>
      </w:r>
    </w:p>
    <w:p w14:paraId="4C8D3A0D" w14:textId="77777777" w:rsidR="00260513" w:rsidRPr="00260513" w:rsidRDefault="00260513" w:rsidP="00260513">
      <w:pPr>
        <w:tabs>
          <w:tab w:val="left" w:pos="284"/>
        </w:tabs>
        <w:ind w:left="284"/>
        <w:jc w:val="both"/>
        <w:rPr>
          <w:rFonts w:ascii="Arial" w:eastAsia="Times New Roman" w:hAnsi="Arial" w:cs="Arial"/>
          <w:sz w:val="18"/>
          <w:szCs w:val="18"/>
          <w:lang w:eastAsia="es-ES"/>
        </w:rPr>
      </w:pPr>
      <w:r w:rsidRPr="00260513">
        <w:rPr>
          <w:rFonts w:ascii="Arial" w:eastAsia="Times New Roman" w:hAnsi="Arial" w:cs="Arial"/>
          <w:sz w:val="18"/>
          <w:szCs w:val="18"/>
          <w:lang w:eastAsia="es-ES"/>
        </w:rPr>
        <w:t>De enero a junio de 2025, el Sector Público Federal realizó erogaciones por concepto de costo financiero de su deuda pública interna por un monto de 519 mil 578.9 millones de pesos. Por otra parte, durante el mismo periodo se efectuaron erogaciones por un monto de 6 mil 812.2 millones de dólares para cubrir el pago por concepto de intereses, comisiones y gastos asociados a la deuda pública externa. Finalmente, cabe señalar que el nivel de deuda pública es moderado como proporción del PIB anual, lo cual se compara favorablemente con respecto a los niveles que mantienen otras economías emergentes y de América Latina. Asimismo, este nivel de endeudamiento es congruente con los techos de endeudamiento aprobados por el H. Congreso de la Unión.</w:t>
      </w:r>
    </w:p>
    <w:p w14:paraId="47E09C14" w14:textId="77777777" w:rsidR="00260513" w:rsidRPr="00260513" w:rsidRDefault="00260513" w:rsidP="00260513">
      <w:pPr>
        <w:tabs>
          <w:tab w:val="left" w:pos="284"/>
        </w:tabs>
        <w:ind w:left="284"/>
        <w:jc w:val="both"/>
        <w:rPr>
          <w:rFonts w:ascii="Arial" w:eastAsia="Times New Roman" w:hAnsi="Arial" w:cs="Arial"/>
          <w:sz w:val="18"/>
          <w:szCs w:val="18"/>
          <w:lang w:eastAsia="es-ES"/>
        </w:rPr>
      </w:pPr>
      <w:r w:rsidRPr="00260513">
        <w:rPr>
          <w:rFonts w:ascii="Arial" w:eastAsia="Times New Roman" w:hAnsi="Arial" w:cs="Arial"/>
          <w:sz w:val="18"/>
          <w:szCs w:val="18"/>
          <w:lang w:eastAsia="es-ES"/>
        </w:rPr>
        <w:t xml:space="preserve">El SHRFSP representa el acervo neto de las obligaciones contraídas para alcanzar los objetivos de las políticas públicas, tanto de las entidades adscritas al Sector Público como de las entidades privadas que actúan por cuenta del Gobierno Federal. Es decir, pasivos menos activos financieros disponibles, por concesión de préstamos y por fondos para la amortización de la deuda como reflejo de la trayectoria anual observada a lo largo del tiempo de los RFSP. De esta manera, el SHRFSP agrupa la deuda neta del Sector Público presupuestario (Gobierno Federal y Entidades de control directo), las obligaciones netas del IPAB, los pasivos del FONADIN, los asociados a los </w:t>
      </w:r>
      <w:proofErr w:type="spellStart"/>
      <w:r w:rsidRPr="00260513">
        <w:rPr>
          <w:rFonts w:ascii="Arial" w:eastAsia="Times New Roman" w:hAnsi="Arial" w:cs="Arial"/>
          <w:sz w:val="18"/>
          <w:szCs w:val="18"/>
          <w:lang w:eastAsia="es-ES"/>
        </w:rPr>
        <w:t>Pidiregas</w:t>
      </w:r>
      <w:proofErr w:type="spellEnd"/>
      <w:r w:rsidRPr="00260513">
        <w:rPr>
          <w:rFonts w:ascii="Arial" w:eastAsia="Times New Roman" w:hAnsi="Arial" w:cs="Arial"/>
          <w:sz w:val="18"/>
          <w:szCs w:val="18"/>
          <w:lang w:eastAsia="es-ES"/>
        </w:rPr>
        <w:t xml:space="preserve"> y los correspondientes a los Programas de Apoyo a Deudores, así como el cambio en la situación patrimonial de las Instituciones de Fomento, y constituye la medida más amplia de deuda pública. Al cierre del segundo trimestre de 2025, el SHRFSP se ubicó en 17 billones 796 mil 564.3 millones de pesos. El componente interno del SHRFSP se ubicó en 13 billones 422 mil 170.7 millones de pesos y el componente externo fue de 231 mil 537.6 millones de dólares.</w:t>
      </w:r>
    </w:p>
    <w:p w14:paraId="6F449D5A" w14:textId="77777777" w:rsidR="00260513" w:rsidRPr="00260513" w:rsidRDefault="00260513" w:rsidP="00260513">
      <w:pPr>
        <w:tabs>
          <w:tab w:val="left" w:pos="284"/>
        </w:tabs>
        <w:ind w:left="284"/>
        <w:jc w:val="both"/>
        <w:rPr>
          <w:rFonts w:ascii="Arial" w:eastAsia="Times New Roman" w:hAnsi="Arial" w:cs="Arial"/>
          <w:sz w:val="18"/>
          <w:szCs w:val="18"/>
          <w:lang w:eastAsia="es-ES"/>
        </w:rPr>
      </w:pPr>
      <w:r w:rsidRPr="00260513">
        <w:rPr>
          <w:rFonts w:ascii="Arial" w:eastAsia="Times New Roman" w:hAnsi="Arial" w:cs="Arial"/>
          <w:sz w:val="18"/>
          <w:szCs w:val="18"/>
          <w:lang w:eastAsia="es-ES"/>
        </w:rPr>
        <w:t xml:space="preserve">Los </w:t>
      </w:r>
      <w:proofErr w:type="spellStart"/>
      <w:r w:rsidRPr="00260513">
        <w:rPr>
          <w:rFonts w:ascii="Arial" w:eastAsia="Times New Roman" w:hAnsi="Arial" w:cs="Arial"/>
          <w:sz w:val="18"/>
          <w:szCs w:val="18"/>
          <w:lang w:eastAsia="es-ES"/>
        </w:rPr>
        <w:t>Pidiregas</w:t>
      </w:r>
      <w:proofErr w:type="spellEnd"/>
      <w:r w:rsidRPr="00260513">
        <w:rPr>
          <w:rFonts w:ascii="Arial" w:eastAsia="Times New Roman" w:hAnsi="Arial" w:cs="Arial"/>
          <w:sz w:val="18"/>
          <w:szCs w:val="18"/>
          <w:lang w:eastAsia="es-ES"/>
        </w:rPr>
        <w:t xml:space="preserve">, que forman parte de la inversión física impulsada por el Sector Público, se agrupan en: i) los </w:t>
      </w:r>
      <w:proofErr w:type="spellStart"/>
      <w:r w:rsidRPr="00260513">
        <w:rPr>
          <w:rFonts w:ascii="Arial" w:eastAsia="Times New Roman" w:hAnsi="Arial" w:cs="Arial"/>
          <w:sz w:val="18"/>
          <w:szCs w:val="18"/>
          <w:lang w:eastAsia="es-ES"/>
        </w:rPr>
        <w:t>Pidiregas</w:t>
      </w:r>
      <w:proofErr w:type="spellEnd"/>
      <w:r w:rsidRPr="00260513">
        <w:rPr>
          <w:rFonts w:ascii="Arial" w:eastAsia="Times New Roman" w:hAnsi="Arial" w:cs="Arial"/>
          <w:sz w:val="18"/>
          <w:szCs w:val="18"/>
          <w:lang w:eastAsia="es-ES"/>
        </w:rPr>
        <w:t xml:space="preserve"> de inversión directa, que comprenden aquellos proyectos que en el tiempo constituirán inversión pública y que por tanto suponen adquirir obligaciones financieras que son registradas de conformidad con el artículo 18 de la LFDP y </w:t>
      </w:r>
      <w:proofErr w:type="spellStart"/>
      <w:r w:rsidRPr="00260513">
        <w:rPr>
          <w:rFonts w:ascii="Arial" w:eastAsia="Times New Roman" w:hAnsi="Arial" w:cs="Arial"/>
          <w:sz w:val="18"/>
          <w:szCs w:val="18"/>
          <w:lang w:eastAsia="es-ES"/>
        </w:rPr>
        <w:t>ii</w:t>
      </w:r>
      <w:proofErr w:type="spellEnd"/>
      <w:r w:rsidRPr="00260513">
        <w:rPr>
          <w:rFonts w:ascii="Arial" w:eastAsia="Times New Roman" w:hAnsi="Arial" w:cs="Arial"/>
          <w:sz w:val="18"/>
          <w:szCs w:val="18"/>
          <w:lang w:eastAsia="es-ES"/>
        </w:rPr>
        <w:t>) aquellos proyectos propiedad del sector privado y que implican únicamente compromisos comerciales, salvo que se presenten causas de fuerza mayor que impliquen su adquisición por el Sector Público.</w:t>
      </w:r>
    </w:p>
    <w:p w14:paraId="0635E5F7" w14:textId="77777777" w:rsidR="00260513" w:rsidRPr="00260513" w:rsidRDefault="00260513" w:rsidP="00260513">
      <w:pPr>
        <w:tabs>
          <w:tab w:val="left" w:pos="284"/>
        </w:tabs>
        <w:ind w:left="284"/>
        <w:jc w:val="both"/>
        <w:rPr>
          <w:rFonts w:ascii="Arial" w:eastAsia="Times New Roman" w:hAnsi="Arial" w:cs="Arial"/>
          <w:sz w:val="18"/>
          <w:szCs w:val="18"/>
          <w:lang w:eastAsia="es-ES"/>
        </w:rPr>
      </w:pPr>
      <w:r w:rsidRPr="00260513">
        <w:rPr>
          <w:rFonts w:ascii="Arial" w:eastAsia="Times New Roman" w:hAnsi="Arial" w:cs="Arial"/>
          <w:sz w:val="18"/>
          <w:szCs w:val="18"/>
          <w:lang w:eastAsia="es-ES"/>
        </w:rPr>
        <w:t xml:space="preserve">Con el objeto de ampliar y mejorar la información relativa a los pasivos asociados a los proyectos de inversión financiada, se incluye información del pasivo de los proyectos </w:t>
      </w:r>
      <w:proofErr w:type="spellStart"/>
      <w:r w:rsidRPr="00260513">
        <w:rPr>
          <w:rFonts w:ascii="Arial" w:eastAsia="Times New Roman" w:hAnsi="Arial" w:cs="Arial"/>
          <w:sz w:val="18"/>
          <w:szCs w:val="18"/>
          <w:lang w:eastAsia="es-ES"/>
        </w:rPr>
        <w:t>Pidiregas</w:t>
      </w:r>
      <w:proofErr w:type="spellEnd"/>
      <w:r w:rsidRPr="00260513">
        <w:rPr>
          <w:rFonts w:ascii="Arial" w:eastAsia="Times New Roman" w:hAnsi="Arial" w:cs="Arial"/>
          <w:sz w:val="18"/>
          <w:szCs w:val="18"/>
          <w:lang w:eastAsia="es-ES"/>
        </w:rPr>
        <w:t xml:space="preserve"> que, de acuerdo con la normatividad aplicable, han sido recibidos a satisfacción por la CFE, reflejándose por lo tanto en sus registros contables. Cabe mencionar que, derivado del reconocimiento de los pasivos </w:t>
      </w:r>
      <w:proofErr w:type="spellStart"/>
      <w:r w:rsidRPr="00260513">
        <w:rPr>
          <w:rFonts w:ascii="Arial" w:eastAsia="Times New Roman" w:hAnsi="Arial" w:cs="Arial"/>
          <w:sz w:val="18"/>
          <w:szCs w:val="18"/>
          <w:lang w:eastAsia="es-ES"/>
        </w:rPr>
        <w:t>Pidiregas</w:t>
      </w:r>
      <w:proofErr w:type="spellEnd"/>
      <w:r w:rsidRPr="00260513">
        <w:rPr>
          <w:rFonts w:ascii="Arial" w:eastAsia="Times New Roman" w:hAnsi="Arial" w:cs="Arial"/>
          <w:sz w:val="18"/>
          <w:szCs w:val="18"/>
          <w:lang w:eastAsia="es-ES"/>
        </w:rPr>
        <w:t xml:space="preserve"> de Pemex como deuda directa en 2009, la única entidad que mantiene a la fecha este esquema es la CFE. Asimismo, en el rubro que se reporta como saldo del financiamiento obtenido por terceros, la entidad estimó los compromisos acumulados en dichos proyectos con base en los avances de obra y en los contratos respectivos. Estos compromisos se reflejarán en los balances de la entidad conforme los proyectos sean terminados y recibidos a completa satisfacción.</w:t>
      </w:r>
    </w:p>
    <w:p w14:paraId="601DC88A" w14:textId="77777777" w:rsidR="00260513" w:rsidRPr="00260513" w:rsidRDefault="00260513" w:rsidP="00260513">
      <w:pPr>
        <w:tabs>
          <w:tab w:val="left" w:pos="284"/>
        </w:tabs>
        <w:ind w:left="284"/>
        <w:jc w:val="both"/>
        <w:rPr>
          <w:rFonts w:ascii="Arial" w:eastAsia="Times New Roman" w:hAnsi="Arial" w:cs="Arial"/>
          <w:sz w:val="18"/>
          <w:szCs w:val="18"/>
          <w:lang w:eastAsia="es-ES"/>
        </w:rPr>
      </w:pPr>
      <w:r w:rsidRPr="00260513">
        <w:rPr>
          <w:rFonts w:ascii="Arial" w:eastAsia="Times New Roman" w:hAnsi="Arial" w:cs="Arial"/>
          <w:sz w:val="18"/>
          <w:szCs w:val="18"/>
          <w:lang w:eastAsia="es-ES"/>
        </w:rPr>
        <w:t>El IPAB tiene como objetivo hacer frente a sus obligaciones financieras, principalmente a través de operaciones de refinanciamiento, con el menor impacto posible sobre las finanzas públicas, conservando el saldo de sus pasivos en una trayectoria sostenible y, por lo tanto, manteniendo expectativas razonables para los mercados financieros sobre el manejo de su deuda. A fin de instrumentar la estrategia antes planteada, al igual que en los ejercicios fiscales de 2000 a 2024, el Ejecutivo Federal solicitó la asignación, en el PEF 2025, de los recursos necesarios para hacer frente al componente real proyectado de la deuda neta del IPAB (deuda bruta menos recursos líquidos), considerando para ello los ingresos propios esperados del Instituto, por concepto del 75.0% de las cuotas que se reciben de la banca múltiple (Cuotas) y, en su caso, la recuperación de activos. Asimismo, en el artículo 2°. de la LIF 2025, el H. Congreso de la Unión otorgó al Instituto la facultad de contratar créditos o emitir valores con el único objeto de canjear o refinanciar exclusivamente sus obligaciones financieras, a fin de hacer frente a sus obligaciones de pago, otorgar liquidez a sus títulos y, en general, mejorar los términos y condiciones de sus obligaciones financieras.</w:t>
      </w:r>
    </w:p>
    <w:p w14:paraId="1FD56E34" w14:textId="77777777" w:rsidR="00260513" w:rsidRPr="00260513" w:rsidRDefault="00260513" w:rsidP="00260513">
      <w:pPr>
        <w:tabs>
          <w:tab w:val="left" w:pos="284"/>
        </w:tabs>
        <w:ind w:left="284"/>
        <w:jc w:val="both"/>
        <w:rPr>
          <w:rFonts w:ascii="Arial" w:eastAsia="Times New Roman" w:hAnsi="Arial" w:cs="Arial"/>
          <w:sz w:val="18"/>
          <w:szCs w:val="18"/>
          <w:lang w:eastAsia="es-ES"/>
        </w:rPr>
      </w:pPr>
      <w:r w:rsidRPr="00260513">
        <w:rPr>
          <w:rFonts w:ascii="Arial" w:eastAsia="Times New Roman" w:hAnsi="Arial" w:cs="Arial"/>
          <w:sz w:val="18"/>
          <w:szCs w:val="18"/>
          <w:lang w:eastAsia="es-ES"/>
        </w:rPr>
        <w:t xml:space="preserve">Al 30 de junio de 2025, la deuda neta del Instituto ascendió a 996 mil 803.0 millones de pesos, registrando una disminución en términos reales de 3.61% respecto a diciembre de 2024. Esta disminución se explica principalmente </w:t>
      </w:r>
      <w:r w:rsidRPr="00260513">
        <w:rPr>
          <w:rFonts w:ascii="Arial" w:eastAsia="Times New Roman" w:hAnsi="Arial" w:cs="Arial"/>
          <w:sz w:val="18"/>
          <w:szCs w:val="18"/>
          <w:lang w:eastAsia="es-ES"/>
        </w:rPr>
        <w:lastRenderedPageBreak/>
        <w:t>por un menor saldo de deuda observado en el periodo. Por otra parte, el saldo de la deuda neta del Instituto al cierre del segundo trimestre de 2025 representó el 2.81% del PIB, dato menor en 0.06 puntos porcentuales respecto al presentado al cierre del segundo trimestre de 2024. En términos reales, el decremento de 0.06 puntos porcentuales se explica principalmente por el decrecimiento de la deuda del Instituto en términos reales de junio de 2024 a junio de 2025. Al cierre del segundo trimestre de 2025, el saldo de los activos totales del Instituto ascendió a 230 mil 554.0 millones de pesos, cifra que presentó un incremento de 3.20% en términos reales, respecto al cierre de diciembre de 2024. Cabe destacar que, el saldo del Fondo de Protección al Ahorro Bancario (Fondo) al cierre del mes de junio de 2025 ascendió a 116 mil 201.0 millones de pesos, lo que significó un incremento nominal de 9.32% y de 7.41% en términos reales respecto del mes de diciembre de 2024.</w:t>
      </w:r>
    </w:p>
    <w:p w14:paraId="22CFE05E" w14:textId="77777777" w:rsidR="00260513" w:rsidRPr="00260513" w:rsidRDefault="00260513" w:rsidP="00260513">
      <w:pPr>
        <w:tabs>
          <w:tab w:val="left" w:pos="284"/>
        </w:tabs>
        <w:ind w:left="284"/>
        <w:jc w:val="both"/>
        <w:rPr>
          <w:rFonts w:ascii="Arial" w:eastAsia="Times New Roman" w:hAnsi="Arial" w:cs="Arial"/>
          <w:sz w:val="18"/>
          <w:szCs w:val="18"/>
          <w:lang w:eastAsia="es-ES"/>
        </w:rPr>
      </w:pPr>
      <w:r w:rsidRPr="00260513">
        <w:rPr>
          <w:rFonts w:ascii="Arial" w:eastAsia="Times New Roman" w:hAnsi="Arial" w:cs="Arial"/>
          <w:sz w:val="18"/>
          <w:szCs w:val="18"/>
          <w:lang w:eastAsia="es-ES"/>
        </w:rPr>
        <w:t xml:space="preserve">Durante el segundo trimestre de 2025, se recibieron recursos en el Instituto por un total de 96 mil 443.0 millones de pesos. Dichos recursos se componen de: </w:t>
      </w:r>
    </w:p>
    <w:p w14:paraId="1BDF4BF2" w14:textId="67BA3FDA" w:rsidR="00260513" w:rsidRDefault="00260513" w:rsidP="00CB2620">
      <w:pPr>
        <w:pStyle w:val="Prrafodelista"/>
        <w:numPr>
          <w:ilvl w:val="0"/>
          <w:numId w:val="22"/>
        </w:numPr>
        <w:ind w:left="709"/>
        <w:jc w:val="both"/>
        <w:rPr>
          <w:rFonts w:ascii="Arial" w:eastAsia="Times New Roman" w:hAnsi="Arial" w:cs="Arial"/>
          <w:sz w:val="18"/>
          <w:szCs w:val="18"/>
          <w:lang w:eastAsia="es-ES"/>
        </w:rPr>
      </w:pPr>
      <w:r w:rsidRPr="00CB2620">
        <w:rPr>
          <w:rFonts w:ascii="Arial" w:eastAsia="Times New Roman" w:hAnsi="Arial" w:cs="Arial"/>
          <w:sz w:val="18"/>
          <w:szCs w:val="18"/>
          <w:lang w:eastAsia="es-ES"/>
        </w:rPr>
        <w:t>56 mil 297.0 millones de pesos correspondientes a operaciones de refinanciamiento a través de la colocación primaria y no competitiva de BPAS;</w:t>
      </w:r>
    </w:p>
    <w:p w14:paraId="33891F9A" w14:textId="77777777" w:rsidR="00CB2620" w:rsidRPr="00CB2620" w:rsidRDefault="00CB2620" w:rsidP="00CB2620">
      <w:pPr>
        <w:pStyle w:val="Prrafodelista"/>
        <w:ind w:left="709"/>
        <w:jc w:val="both"/>
        <w:rPr>
          <w:rFonts w:ascii="Arial" w:eastAsia="Times New Roman" w:hAnsi="Arial" w:cs="Arial"/>
          <w:sz w:val="18"/>
          <w:szCs w:val="18"/>
          <w:lang w:eastAsia="es-ES"/>
        </w:rPr>
      </w:pPr>
    </w:p>
    <w:p w14:paraId="502B1CFD" w14:textId="77777777" w:rsidR="00CB2620" w:rsidRDefault="00260513" w:rsidP="00CB2620">
      <w:pPr>
        <w:pStyle w:val="Prrafodelista"/>
        <w:numPr>
          <w:ilvl w:val="0"/>
          <w:numId w:val="22"/>
        </w:numPr>
        <w:ind w:left="709"/>
        <w:jc w:val="both"/>
        <w:rPr>
          <w:rFonts w:ascii="Arial" w:eastAsia="Times New Roman" w:hAnsi="Arial" w:cs="Arial"/>
          <w:sz w:val="18"/>
          <w:szCs w:val="18"/>
          <w:lang w:eastAsia="es-ES"/>
        </w:rPr>
      </w:pPr>
      <w:r w:rsidRPr="00CB2620">
        <w:rPr>
          <w:rFonts w:ascii="Arial" w:eastAsia="Times New Roman" w:hAnsi="Arial" w:cs="Arial"/>
          <w:sz w:val="18"/>
          <w:szCs w:val="18"/>
          <w:lang w:eastAsia="es-ES"/>
        </w:rPr>
        <w:t>26 mil 226.0 millones de pesos de concepto del 50.0% de la aportación correspondiente del Ramo 34 del Programa de Apoyo a Ahorradores de la Banca;</w:t>
      </w:r>
    </w:p>
    <w:p w14:paraId="210407BA" w14:textId="77777777" w:rsidR="00CB2620" w:rsidRPr="00CB2620" w:rsidRDefault="00CB2620" w:rsidP="00CB2620">
      <w:pPr>
        <w:pStyle w:val="Prrafodelista"/>
        <w:ind w:left="709"/>
        <w:rPr>
          <w:rFonts w:ascii="Arial" w:eastAsia="Times New Roman" w:hAnsi="Arial" w:cs="Arial"/>
          <w:sz w:val="18"/>
          <w:szCs w:val="18"/>
          <w:lang w:eastAsia="es-ES"/>
        </w:rPr>
      </w:pPr>
    </w:p>
    <w:p w14:paraId="0B05F97A" w14:textId="78FC9E6E" w:rsidR="00260513" w:rsidRDefault="00260513" w:rsidP="00CB2620">
      <w:pPr>
        <w:pStyle w:val="Prrafodelista"/>
        <w:numPr>
          <w:ilvl w:val="0"/>
          <w:numId w:val="22"/>
        </w:numPr>
        <w:ind w:left="709"/>
        <w:jc w:val="both"/>
        <w:rPr>
          <w:rFonts w:ascii="Arial" w:eastAsia="Times New Roman" w:hAnsi="Arial" w:cs="Arial"/>
          <w:sz w:val="18"/>
          <w:szCs w:val="18"/>
          <w:lang w:eastAsia="es-ES"/>
        </w:rPr>
      </w:pPr>
      <w:r w:rsidRPr="00CB2620">
        <w:rPr>
          <w:rFonts w:ascii="Arial" w:eastAsia="Times New Roman" w:hAnsi="Arial" w:cs="Arial"/>
          <w:sz w:val="18"/>
          <w:szCs w:val="18"/>
          <w:lang w:eastAsia="es-ES"/>
        </w:rPr>
        <w:t>9 mil 534.0 millones de pesos por concepto de Cuotas cobradas a las Instituciones de Banca Múltiple (IBM);</w:t>
      </w:r>
    </w:p>
    <w:p w14:paraId="36577532" w14:textId="77777777" w:rsidR="00CB2620" w:rsidRPr="00CB2620" w:rsidRDefault="00CB2620" w:rsidP="00CB2620">
      <w:pPr>
        <w:pStyle w:val="Prrafodelista"/>
        <w:ind w:left="709"/>
        <w:jc w:val="both"/>
        <w:rPr>
          <w:rFonts w:ascii="Arial" w:eastAsia="Times New Roman" w:hAnsi="Arial" w:cs="Arial"/>
          <w:sz w:val="18"/>
          <w:szCs w:val="18"/>
          <w:lang w:eastAsia="es-ES"/>
        </w:rPr>
      </w:pPr>
    </w:p>
    <w:p w14:paraId="663F9343" w14:textId="5C06E532" w:rsidR="00260513" w:rsidRDefault="00260513" w:rsidP="00CB2620">
      <w:pPr>
        <w:pStyle w:val="Prrafodelista"/>
        <w:numPr>
          <w:ilvl w:val="0"/>
          <w:numId w:val="22"/>
        </w:numPr>
        <w:ind w:left="709"/>
        <w:jc w:val="both"/>
        <w:rPr>
          <w:rFonts w:ascii="Arial" w:eastAsia="Times New Roman" w:hAnsi="Arial" w:cs="Arial"/>
          <w:sz w:val="18"/>
          <w:szCs w:val="18"/>
          <w:lang w:eastAsia="es-ES"/>
        </w:rPr>
      </w:pPr>
      <w:r w:rsidRPr="00CB2620">
        <w:rPr>
          <w:rFonts w:ascii="Arial" w:eastAsia="Times New Roman" w:hAnsi="Arial" w:cs="Arial"/>
          <w:sz w:val="18"/>
          <w:szCs w:val="18"/>
          <w:lang w:eastAsia="es-ES"/>
        </w:rPr>
        <w:t>4 mil 286.0 millones de pesos de intereses generados por la inversión de los activos líquidos del Instituto;</w:t>
      </w:r>
    </w:p>
    <w:p w14:paraId="2CA4FE63" w14:textId="77777777" w:rsidR="00CB2620" w:rsidRPr="00CB2620" w:rsidRDefault="00CB2620" w:rsidP="00CB2620">
      <w:pPr>
        <w:pStyle w:val="Prrafodelista"/>
        <w:ind w:left="709"/>
        <w:jc w:val="both"/>
        <w:rPr>
          <w:rFonts w:ascii="Arial" w:eastAsia="Times New Roman" w:hAnsi="Arial" w:cs="Arial"/>
          <w:sz w:val="18"/>
          <w:szCs w:val="18"/>
          <w:lang w:eastAsia="es-ES"/>
        </w:rPr>
      </w:pPr>
    </w:p>
    <w:p w14:paraId="00AFDC99" w14:textId="77777777" w:rsidR="00CB2620" w:rsidRDefault="00260513" w:rsidP="00165F5F">
      <w:pPr>
        <w:pStyle w:val="Prrafodelista"/>
        <w:numPr>
          <w:ilvl w:val="0"/>
          <w:numId w:val="22"/>
        </w:numPr>
        <w:ind w:left="709"/>
        <w:jc w:val="both"/>
        <w:rPr>
          <w:rFonts w:ascii="Arial" w:eastAsia="Times New Roman" w:hAnsi="Arial" w:cs="Arial"/>
          <w:sz w:val="18"/>
          <w:szCs w:val="18"/>
          <w:lang w:eastAsia="es-ES"/>
        </w:rPr>
      </w:pPr>
      <w:r w:rsidRPr="00CB2620">
        <w:rPr>
          <w:rFonts w:ascii="Arial" w:eastAsia="Times New Roman" w:hAnsi="Arial" w:cs="Arial"/>
          <w:sz w:val="18"/>
          <w:szCs w:val="18"/>
          <w:lang w:eastAsia="es-ES"/>
        </w:rPr>
        <w:t>100.0 millones de pesos correspondientes a Recuperaciones por Subrogación; y</w:t>
      </w:r>
    </w:p>
    <w:p w14:paraId="75AE8663" w14:textId="77777777" w:rsidR="00CB2620" w:rsidRPr="00CB2620" w:rsidRDefault="00CB2620" w:rsidP="00CB2620">
      <w:pPr>
        <w:pStyle w:val="Prrafodelista"/>
        <w:rPr>
          <w:rFonts w:ascii="Arial" w:eastAsia="Times New Roman" w:hAnsi="Arial" w:cs="Arial"/>
          <w:sz w:val="18"/>
          <w:szCs w:val="18"/>
          <w:lang w:eastAsia="es-ES"/>
        </w:rPr>
      </w:pPr>
    </w:p>
    <w:p w14:paraId="1DB3DDE6" w14:textId="3C4A1261" w:rsidR="00260513" w:rsidRPr="00CB2620" w:rsidRDefault="00260513" w:rsidP="00165F5F">
      <w:pPr>
        <w:pStyle w:val="Prrafodelista"/>
        <w:numPr>
          <w:ilvl w:val="0"/>
          <w:numId w:val="22"/>
        </w:numPr>
        <w:ind w:left="709"/>
        <w:jc w:val="both"/>
        <w:rPr>
          <w:rFonts w:ascii="Arial" w:eastAsia="Times New Roman" w:hAnsi="Arial" w:cs="Arial"/>
          <w:sz w:val="18"/>
          <w:szCs w:val="18"/>
          <w:lang w:eastAsia="es-ES"/>
        </w:rPr>
      </w:pPr>
      <w:r w:rsidRPr="00CB2620">
        <w:rPr>
          <w:rFonts w:ascii="Arial" w:eastAsia="Times New Roman" w:hAnsi="Arial" w:cs="Arial"/>
          <w:sz w:val="18"/>
          <w:szCs w:val="18"/>
          <w:lang w:eastAsia="es-ES"/>
        </w:rPr>
        <w:t xml:space="preserve">0.004 millones de pesos por otros ingresos (actualización de cuotas omitidas, reembolso a la Reserva de Resoluciones e ingresos por venta de activos). </w:t>
      </w:r>
    </w:p>
    <w:p w14:paraId="7C139BA4" w14:textId="77777777" w:rsidR="00260513" w:rsidRPr="00260513" w:rsidRDefault="00260513" w:rsidP="00260513">
      <w:pPr>
        <w:tabs>
          <w:tab w:val="left" w:pos="284"/>
        </w:tabs>
        <w:ind w:left="284"/>
        <w:jc w:val="both"/>
        <w:rPr>
          <w:rFonts w:ascii="Arial" w:eastAsia="Times New Roman" w:hAnsi="Arial" w:cs="Arial"/>
          <w:sz w:val="18"/>
          <w:szCs w:val="18"/>
          <w:lang w:eastAsia="es-ES"/>
        </w:rPr>
      </w:pPr>
      <w:r w:rsidRPr="00260513">
        <w:rPr>
          <w:rFonts w:ascii="Arial" w:eastAsia="Times New Roman" w:hAnsi="Arial" w:cs="Arial"/>
          <w:sz w:val="18"/>
          <w:szCs w:val="18"/>
          <w:lang w:eastAsia="es-ES"/>
        </w:rPr>
        <w:t>Por su parte, los pagos realizados durante el mismo periodo ascendieron a 75 mil 746.0 millones de pesos, de los cuales 45 mil 214.0 millones de pesos corresponden a la amortización de Bonos; 30 mil 456.0 millones de pesos al pago de intereses de dichos Bonos; 75 millones de pesos a pagos relacionados con gastos de administración del Instituto; 0.19 millones de pesos relacionados a procesos de resolución y 0.08 millones de pesos por pago de obligaciones garantizadas.</w:t>
      </w:r>
    </w:p>
    <w:p w14:paraId="16E1141C" w14:textId="77777777" w:rsidR="00260513" w:rsidRPr="00260513" w:rsidRDefault="00260513" w:rsidP="00260513">
      <w:pPr>
        <w:tabs>
          <w:tab w:val="left" w:pos="284"/>
        </w:tabs>
        <w:ind w:left="284"/>
        <w:jc w:val="both"/>
        <w:rPr>
          <w:rFonts w:ascii="Arial" w:eastAsia="Times New Roman" w:hAnsi="Arial" w:cs="Arial"/>
          <w:sz w:val="18"/>
          <w:szCs w:val="18"/>
          <w:lang w:eastAsia="es-ES"/>
        </w:rPr>
      </w:pPr>
      <w:r w:rsidRPr="00260513">
        <w:rPr>
          <w:rFonts w:ascii="Arial" w:eastAsia="Times New Roman" w:hAnsi="Arial" w:cs="Arial"/>
          <w:sz w:val="18"/>
          <w:szCs w:val="18"/>
          <w:lang w:eastAsia="es-ES"/>
        </w:rPr>
        <w:t xml:space="preserve">Con estricto apego a la facultad de refinanciamiento del Instituto establecida en el artículo 2o. antes referido y, conforme al programa de subastas dado a conocer al público inversionista el 20 de diciembre de 2024, el Instituto colocó Bonos de Protección al Ahorro (BPAS o Bonos) a través del Banco de México como su agente financiero. Dado lo anterior, de abril a junio del 2025, el IPAB colocó instrumentos por un monto nominal de 56 mil 208.0 millones de pesos, de los cuales 55 mil 900.0 millones de pesos corresponden a subastas primarias y 308.0 millones de pesos a asignaciones no competitivas a través de la plataforma de </w:t>
      </w:r>
      <w:proofErr w:type="spellStart"/>
      <w:r w:rsidRPr="00260513">
        <w:rPr>
          <w:rFonts w:ascii="Arial" w:eastAsia="Times New Roman" w:hAnsi="Arial" w:cs="Arial"/>
          <w:sz w:val="18"/>
          <w:szCs w:val="18"/>
          <w:lang w:eastAsia="es-ES"/>
        </w:rPr>
        <w:t>Cetesdirecto</w:t>
      </w:r>
      <w:proofErr w:type="spellEnd"/>
      <w:r w:rsidRPr="00260513">
        <w:rPr>
          <w:rFonts w:ascii="Arial" w:eastAsia="Times New Roman" w:hAnsi="Arial" w:cs="Arial"/>
          <w:sz w:val="18"/>
          <w:szCs w:val="18"/>
          <w:lang w:eastAsia="es-ES"/>
        </w:rPr>
        <w:t>; por otra parte, amortizó emisiones por un valor nominal de 45 mil 214.0 millones de pesos, de los cuales 45 mil 200.0 millones de pesos fueron de la subasta competitiva y 14.0 millones de pesos de la colocación no competitiva. Con lo anterior, el Instituto presentó una colocación neta de 10 mil 994.0 millones de pesos. Las operaciones de refinanciamiento efectuadas durante el segundo trimestre de 2025 contribuyeron con el objetivo estratégico del IPAB de hacer frente a sus obligaciones de pago de manera sostenible en el largo plazo.</w:t>
      </w:r>
    </w:p>
    <w:p w14:paraId="0469CCF3" w14:textId="77777777" w:rsidR="00260513" w:rsidRPr="00260513" w:rsidRDefault="00260513" w:rsidP="00260513">
      <w:pPr>
        <w:tabs>
          <w:tab w:val="left" w:pos="284"/>
        </w:tabs>
        <w:ind w:left="284"/>
        <w:jc w:val="both"/>
        <w:rPr>
          <w:rFonts w:ascii="Arial" w:eastAsia="Times New Roman" w:hAnsi="Arial" w:cs="Arial"/>
          <w:sz w:val="18"/>
          <w:szCs w:val="18"/>
          <w:lang w:eastAsia="es-ES"/>
        </w:rPr>
      </w:pPr>
      <w:r w:rsidRPr="00260513">
        <w:rPr>
          <w:rFonts w:ascii="Arial" w:eastAsia="Times New Roman" w:hAnsi="Arial" w:cs="Arial"/>
          <w:sz w:val="18"/>
          <w:szCs w:val="18"/>
          <w:lang w:eastAsia="es-ES"/>
        </w:rPr>
        <w:t>Al cierre del segundo trimestre de 2025, el plazo promedio de los pasivos del Instituto fue de 2.71 años, dato 0.02 años mayor al observado en el segundo trimestre de 2024 (2.69 años), debido a que los porcentajes de la deuda con plazo de tres a cinco años se han incrementado. Por otra parte, el 27 de junio de 2025, el IPAB dio a conocer al público inversionista las subastas primarias programadas a realizar durante el tercer trimestre de 2025; para el cual, se disminuyó 300.0 millones de pesos el monto objetivo semanal a subastar respecto del segundo trimestre de 2025, quedando en 4,000.0 millones de pesos, distribuidos de la siguiente manera: 1 mil 400.0 millones de pesos de BPAG28 a plazo de hasta tres años; 1 mil 400.0 millones de pesos de BPAG91 a plazo de hasta cinco años y 1 mil 200.0 millones de pesos de BPA182 a plazo de hasta 7 años.</w:t>
      </w:r>
    </w:p>
    <w:p w14:paraId="1B3C633F" w14:textId="4BB21260"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El Gobierno del Estado de Tlaxcala mantiene el compromiso de no contraer deuda pública que pudiese comprometer las finanzas públicas en el corto y mediano plazo, aunado a las medidas de austeridad republicana implementadas por el Gobierno Federal, traduciéndose en un nivel de endeudamiento al cierre del ejercicio fiscal </w:t>
      </w:r>
      <w:r w:rsidRPr="00A11793">
        <w:rPr>
          <w:rFonts w:ascii="Arial" w:eastAsia="Times New Roman" w:hAnsi="Arial" w:cs="Arial"/>
          <w:sz w:val="18"/>
          <w:szCs w:val="18"/>
          <w:lang w:eastAsia="es-ES"/>
        </w:rPr>
        <w:lastRenderedPageBreak/>
        <w:t xml:space="preserve">2024 de $0.00, y al </w:t>
      </w:r>
      <w:r w:rsidR="00CB2620">
        <w:rPr>
          <w:rFonts w:ascii="Arial" w:eastAsia="Times New Roman" w:hAnsi="Arial" w:cs="Arial"/>
          <w:sz w:val="18"/>
          <w:szCs w:val="18"/>
          <w:lang w:eastAsia="es-ES"/>
        </w:rPr>
        <w:t>tercer</w:t>
      </w:r>
      <w:r w:rsidRPr="00A11793">
        <w:rPr>
          <w:rFonts w:ascii="Arial" w:eastAsia="Times New Roman" w:hAnsi="Arial" w:cs="Arial"/>
          <w:sz w:val="18"/>
          <w:szCs w:val="18"/>
          <w:lang w:eastAsia="es-ES"/>
        </w:rPr>
        <w:t xml:space="preserve"> trimestre del ejercicio 2025 se continúa con un saldo de $0.00 de endeudamiento, manteniendo las finanzas del Gobierno del Estado sanas.</w:t>
      </w:r>
    </w:p>
    <w:p w14:paraId="6719BFE1" w14:textId="77777777" w:rsidR="008C10B0" w:rsidRPr="00B97B9A" w:rsidRDefault="008C10B0" w:rsidP="008C10B0">
      <w:pPr>
        <w:tabs>
          <w:tab w:val="left" w:pos="284"/>
        </w:tabs>
        <w:jc w:val="both"/>
        <w:rPr>
          <w:rFonts w:ascii="Arial" w:hAnsi="Arial" w:cs="Arial"/>
          <w:b/>
          <w:sz w:val="18"/>
          <w:szCs w:val="18"/>
        </w:rPr>
      </w:pPr>
      <w:r w:rsidRPr="00B97B9A">
        <w:rPr>
          <w:rFonts w:ascii="Arial" w:hAnsi="Arial" w:cs="Arial"/>
          <w:sz w:val="18"/>
          <w:szCs w:val="18"/>
        </w:rPr>
        <w:tab/>
      </w:r>
      <w:r w:rsidRPr="003E4FE7">
        <w:rPr>
          <w:rFonts w:ascii="Arial" w:hAnsi="Arial" w:cs="Arial"/>
          <w:b/>
          <w:sz w:val="18"/>
          <w:szCs w:val="18"/>
        </w:rPr>
        <w:t>11. Calificaciones otorgadas</w:t>
      </w:r>
    </w:p>
    <w:p w14:paraId="61E30715" w14:textId="2B38E7EA" w:rsidR="008C10B0" w:rsidRDefault="008C10B0" w:rsidP="008C10B0">
      <w:r>
        <w:t xml:space="preserve">      No aplica, toda vez que no se tiene contrato con empresas calificadoras al </w:t>
      </w:r>
      <w:r w:rsidR="003A3004">
        <w:t>3</w:t>
      </w:r>
      <w:r w:rsidR="009E4791">
        <w:t>0</w:t>
      </w:r>
      <w:r w:rsidR="003A3004">
        <w:t xml:space="preserve"> de </w:t>
      </w:r>
      <w:r w:rsidR="009E4791">
        <w:t>septiembre</w:t>
      </w:r>
      <w:r>
        <w:t xml:space="preserve"> del ejercicio 202</w:t>
      </w:r>
      <w:r w:rsidR="003A3004">
        <w:t>5</w:t>
      </w:r>
      <w:r>
        <w:t>.</w:t>
      </w:r>
    </w:p>
    <w:p w14:paraId="5D93A37E" w14:textId="77777777" w:rsidR="008C10B0" w:rsidRDefault="008C10B0" w:rsidP="008C10B0">
      <w:pPr>
        <w:rPr>
          <w:rFonts w:ascii="Arial" w:hAnsi="Arial" w:cs="Arial"/>
          <w:b/>
          <w:sz w:val="18"/>
          <w:szCs w:val="18"/>
        </w:rPr>
      </w:pPr>
      <w:r>
        <w:t xml:space="preserve">     </w:t>
      </w:r>
      <w:r w:rsidRPr="003A3004">
        <w:rPr>
          <w:rFonts w:ascii="Arial" w:hAnsi="Arial" w:cs="Arial"/>
          <w:b/>
          <w:sz w:val="18"/>
          <w:szCs w:val="18"/>
        </w:rPr>
        <w:t>12. Proceso de Mejora</w:t>
      </w:r>
    </w:p>
    <w:p w14:paraId="03F40413" w14:textId="77777777" w:rsidR="008C10B0" w:rsidRPr="00B97B9A" w:rsidRDefault="008C10B0" w:rsidP="008C10B0">
      <w:r w:rsidRPr="00B97B9A">
        <w:t xml:space="preserve">     a) Principales políticas de control interno:</w:t>
      </w:r>
    </w:p>
    <w:p w14:paraId="434D0493" w14:textId="77777777" w:rsidR="008C10B0" w:rsidRDefault="008C10B0" w:rsidP="008C10B0">
      <w:pPr>
        <w:ind w:left="708"/>
        <w:jc w:val="both"/>
      </w:pPr>
      <w:r>
        <w:t xml:space="preserve"> </w:t>
      </w:r>
      <w:r w:rsidRPr="00B97B9A">
        <w:t>Se cuenta con manuales de procedimientos, Lineamientos de Racionalidad, Austeridad y Disciplina</w:t>
      </w:r>
      <w:r>
        <w:t xml:space="preserve"> </w:t>
      </w:r>
      <w:r w:rsidRPr="00B97B9A">
        <w:t>Presupuestal, Lineamientos de Adquisiciones, Arrendamientos, Servicios y Obra Pública del Estado de Tlaxcala, así como la normatividad vigente para los registros contables emitidos por la Consejo Nacional de Armonización Contable.</w:t>
      </w:r>
    </w:p>
    <w:p w14:paraId="639E90EC" w14:textId="77777777" w:rsidR="008C10B0" w:rsidRPr="00B97B9A" w:rsidRDefault="008C10B0" w:rsidP="008C10B0">
      <w:pPr>
        <w:jc w:val="both"/>
      </w:pPr>
      <w:r>
        <w:t xml:space="preserve">   </w:t>
      </w:r>
      <w:r w:rsidRPr="00B97B9A">
        <w:t>b) Medidas de desempeño financiero, metas y alcance:</w:t>
      </w:r>
    </w:p>
    <w:p w14:paraId="552AA16C" w14:textId="431468FF" w:rsidR="008C10B0" w:rsidRDefault="008C10B0" w:rsidP="008C10B0">
      <w:pPr>
        <w:ind w:left="708"/>
        <w:jc w:val="both"/>
      </w:pPr>
      <w:r w:rsidRPr="00B97B9A">
        <w:t>Se lleva un control estadístico de actividades por área administrativa a fin de evaluar el desempeño de</w:t>
      </w:r>
      <w:r w:rsidRPr="00B97B9A">
        <w:rPr>
          <w:rFonts w:ascii="Arial Narrow" w:eastAsia="Times New Roman" w:hAnsi="Arial Narrow" w:cs="Times New Roman"/>
        </w:rPr>
        <w:t xml:space="preserve"> </w:t>
      </w:r>
      <w:r w:rsidRPr="00B97B9A">
        <w:t>acuerdo con lo programado y presupuestado (PBR) del ejercicio 202</w:t>
      </w:r>
      <w:r w:rsidR="003A3004">
        <w:t>5</w:t>
      </w:r>
      <w:r>
        <w:t>.</w:t>
      </w:r>
    </w:p>
    <w:p w14:paraId="5F7F9775" w14:textId="77777777" w:rsidR="008C10B0" w:rsidRPr="00B97B9A" w:rsidRDefault="008C10B0" w:rsidP="008C10B0">
      <w:pPr>
        <w:jc w:val="both"/>
        <w:rPr>
          <w:b/>
        </w:rPr>
      </w:pPr>
      <w:r w:rsidRPr="003A3004">
        <w:rPr>
          <w:b/>
        </w:rPr>
        <w:t>13. Información por Segmentos</w:t>
      </w:r>
    </w:p>
    <w:p w14:paraId="3CE23A92" w14:textId="1D07673C" w:rsidR="008C10B0" w:rsidRDefault="008C10B0" w:rsidP="008C10B0">
      <w:pPr>
        <w:jc w:val="both"/>
      </w:pPr>
      <w:r>
        <w:t xml:space="preserve">No aplica, toda vez que el Poder Ejecutivo informa de manera pormenorizada de acuerdo a la estructura relativa a la Cuenta </w:t>
      </w:r>
      <w:r w:rsidR="002640DB">
        <w:t>Pública</w:t>
      </w:r>
      <w:r>
        <w:t xml:space="preserve"> emitida por el Consejo Nacional Armonización Contable.</w:t>
      </w:r>
    </w:p>
    <w:p w14:paraId="4DEDCF6D" w14:textId="77777777" w:rsidR="008C10B0" w:rsidRDefault="008C10B0" w:rsidP="008C10B0">
      <w:pPr>
        <w:jc w:val="both"/>
      </w:pPr>
      <w:r w:rsidRPr="00AD1464">
        <w:rPr>
          <w:b/>
        </w:rPr>
        <w:t>14. Eventos Posteriores al Cierre</w:t>
      </w:r>
    </w:p>
    <w:p w14:paraId="373B6104" w14:textId="06EDB492" w:rsidR="008C10B0" w:rsidRDefault="008C10B0" w:rsidP="008C10B0">
      <w:pPr>
        <w:jc w:val="both"/>
      </w:pPr>
      <w:r>
        <w:t xml:space="preserve">No aplica, toda vez que no se registraron eventos posteriores al cierre del </w:t>
      </w:r>
      <w:r w:rsidR="009E4791">
        <w:t>tercer</w:t>
      </w:r>
      <w:r w:rsidR="00AD1464">
        <w:t xml:space="preserve"> trimestre del ejercicio fiscal 2025</w:t>
      </w:r>
      <w:r>
        <w:t>.</w:t>
      </w:r>
    </w:p>
    <w:p w14:paraId="7C0596D0" w14:textId="77777777" w:rsidR="008C10B0" w:rsidRDefault="008C10B0" w:rsidP="008C10B0">
      <w:pPr>
        <w:jc w:val="both"/>
        <w:rPr>
          <w:b/>
        </w:rPr>
      </w:pPr>
      <w:r w:rsidRPr="00AD1464">
        <w:rPr>
          <w:b/>
        </w:rPr>
        <w:t>15. Partes Relacionadas</w:t>
      </w:r>
    </w:p>
    <w:p w14:paraId="7D77AAE3" w14:textId="350EE514" w:rsidR="008C10B0" w:rsidRDefault="008C10B0" w:rsidP="008C10B0">
      <w:pPr>
        <w:jc w:val="both"/>
      </w:pPr>
      <w:r>
        <w:t xml:space="preserve">No aplica, toda vez que el Poder Ejecutivo no cuenta con partes relacionadas al cierre del </w:t>
      </w:r>
      <w:r w:rsidR="009E4791">
        <w:t>tercer</w:t>
      </w:r>
      <w:r w:rsidR="00AD1464">
        <w:t xml:space="preserve"> trimestre del </w:t>
      </w:r>
      <w:r>
        <w:t>ejer</w:t>
      </w:r>
      <w:r w:rsidR="00AD1464">
        <w:t>cicio 2025</w:t>
      </w:r>
      <w: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8C10B0" w14:paraId="5C525CF8" w14:textId="77777777" w:rsidTr="008C10B0">
        <w:trPr>
          <w:trHeight w:val="1671"/>
        </w:trPr>
        <w:tc>
          <w:tcPr>
            <w:tcW w:w="9350" w:type="dxa"/>
            <w:gridSpan w:val="3"/>
          </w:tcPr>
          <w:p w14:paraId="72E3B415" w14:textId="77777777" w:rsidR="008C10B0" w:rsidRDefault="008C10B0" w:rsidP="008C10B0">
            <w:pPr>
              <w:pStyle w:val="Texto"/>
              <w:spacing w:after="0" w:line="240" w:lineRule="exact"/>
              <w:ind w:firstLine="0"/>
              <w:rPr>
                <w:b/>
              </w:rPr>
            </w:pPr>
            <w:r w:rsidRPr="00931020">
              <w:rPr>
                <w:b/>
              </w:rPr>
              <w:t>16. Responsabilidad Sobre la Presentación Razonable de la Información Contable</w:t>
            </w:r>
          </w:p>
          <w:p w14:paraId="24807FF1" w14:textId="77777777" w:rsidR="008C10B0" w:rsidRDefault="008C10B0" w:rsidP="008C10B0">
            <w:pPr>
              <w:pStyle w:val="Texto"/>
              <w:spacing w:after="0" w:line="240" w:lineRule="exact"/>
              <w:ind w:firstLine="0"/>
              <w:rPr>
                <w:color w:val="000000"/>
                <w:szCs w:val="18"/>
              </w:rPr>
            </w:pPr>
          </w:p>
          <w:p w14:paraId="70B91332" w14:textId="77777777" w:rsidR="008C10B0" w:rsidRDefault="008C10B0" w:rsidP="008C10B0">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14:paraId="07224C6B" w14:textId="77777777" w:rsidR="008C10B0" w:rsidRDefault="008C10B0" w:rsidP="008C10B0">
            <w:pPr>
              <w:pStyle w:val="Texto"/>
              <w:spacing w:after="0" w:line="240" w:lineRule="exact"/>
              <w:ind w:firstLine="0"/>
              <w:rPr>
                <w:szCs w:val="18"/>
              </w:rPr>
            </w:pPr>
          </w:p>
          <w:p w14:paraId="49DA6409" w14:textId="77777777" w:rsidR="008C10B0" w:rsidRDefault="008C10B0" w:rsidP="008C10B0">
            <w:pPr>
              <w:pStyle w:val="Texto"/>
              <w:spacing w:after="0" w:line="240" w:lineRule="exact"/>
              <w:ind w:firstLine="0"/>
              <w:rPr>
                <w:szCs w:val="18"/>
              </w:rPr>
            </w:pPr>
          </w:p>
          <w:p w14:paraId="5A3C8BD4" w14:textId="77777777" w:rsidR="008C10B0" w:rsidRDefault="008C10B0" w:rsidP="008C10B0">
            <w:pPr>
              <w:pStyle w:val="Texto"/>
              <w:spacing w:after="0" w:line="240" w:lineRule="exact"/>
              <w:ind w:firstLine="0"/>
              <w:rPr>
                <w:szCs w:val="18"/>
              </w:rPr>
            </w:pPr>
          </w:p>
          <w:p w14:paraId="5FCD26B2" w14:textId="77777777" w:rsidR="008C10B0" w:rsidRDefault="008C10B0" w:rsidP="008C10B0">
            <w:pPr>
              <w:pStyle w:val="Texto"/>
              <w:spacing w:after="0" w:line="240" w:lineRule="exact"/>
              <w:ind w:firstLine="0"/>
              <w:rPr>
                <w:szCs w:val="18"/>
              </w:rPr>
            </w:pPr>
          </w:p>
        </w:tc>
      </w:tr>
      <w:tr w:rsidR="008C10B0" w14:paraId="134717B8" w14:textId="77777777" w:rsidTr="008C10B0">
        <w:tc>
          <w:tcPr>
            <w:tcW w:w="4106" w:type="dxa"/>
          </w:tcPr>
          <w:p w14:paraId="5EC57BEB" w14:textId="77777777" w:rsidR="008C10B0" w:rsidRDefault="008C10B0" w:rsidP="008C10B0">
            <w:pPr>
              <w:jc w:val="center"/>
              <w:rPr>
                <w:rFonts w:ascii="Arial" w:hAnsi="Arial" w:cs="Arial"/>
                <w:color w:val="000000"/>
                <w:sz w:val="18"/>
                <w:szCs w:val="18"/>
              </w:rPr>
            </w:pPr>
          </w:p>
          <w:p w14:paraId="592FE0CD" w14:textId="77777777" w:rsidR="008C10B0" w:rsidRDefault="008C10B0" w:rsidP="008C10B0">
            <w:pPr>
              <w:jc w:val="center"/>
              <w:rPr>
                <w:rFonts w:ascii="Arial" w:hAnsi="Arial" w:cs="Arial"/>
                <w:color w:val="000000"/>
                <w:sz w:val="18"/>
                <w:szCs w:val="18"/>
              </w:rPr>
            </w:pPr>
          </w:p>
          <w:p w14:paraId="1CD01109" w14:textId="77777777" w:rsidR="008C10B0" w:rsidRDefault="008C10B0" w:rsidP="008C10B0">
            <w:pPr>
              <w:jc w:val="center"/>
              <w:rPr>
                <w:rFonts w:ascii="Arial" w:hAnsi="Arial" w:cs="Arial"/>
                <w:color w:val="000000"/>
                <w:sz w:val="18"/>
                <w:szCs w:val="18"/>
              </w:rPr>
            </w:pPr>
            <w:r>
              <w:rPr>
                <w:rFonts w:ascii="Arial" w:hAnsi="Arial" w:cs="Arial"/>
                <w:color w:val="000000"/>
                <w:sz w:val="18"/>
                <w:szCs w:val="18"/>
              </w:rPr>
              <w:t>_____________________________________</w:t>
            </w:r>
          </w:p>
          <w:p w14:paraId="752A43B5" w14:textId="77777777" w:rsidR="008C10B0" w:rsidRDefault="008C10B0" w:rsidP="008C10B0">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14:paraId="717474DB" w14:textId="77777777" w:rsidR="008C10B0" w:rsidRDefault="008C10B0" w:rsidP="008C10B0">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14:paraId="1BB3EA60" w14:textId="77777777" w:rsidR="008C10B0" w:rsidRDefault="008C10B0" w:rsidP="008C10B0">
            <w:pPr>
              <w:pStyle w:val="Texto"/>
              <w:spacing w:after="0" w:line="240" w:lineRule="exact"/>
              <w:ind w:firstLine="0"/>
              <w:jc w:val="center"/>
              <w:rPr>
                <w:szCs w:val="18"/>
              </w:rPr>
            </w:pPr>
          </w:p>
        </w:tc>
        <w:tc>
          <w:tcPr>
            <w:tcW w:w="1134" w:type="dxa"/>
          </w:tcPr>
          <w:p w14:paraId="60331F3E" w14:textId="77777777" w:rsidR="008C10B0" w:rsidRDefault="008C10B0" w:rsidP="008C10B0">
            <w:pPr>
              <w:pStyle w:val="Texto"/>
              <w:spacing w:after="0" w:line="240" w:lineRule="exact"/>
              <w:ind w:firstLine="0"/>
              <w:rPr>
                <w:szCs w:val="18"/>
              </w:rPr>
            </w:pPr>
          </w:p>
        </w:tc>
        <w:tc>
          <w:tcPr>
            <w:tcW w:w="4110" w:type="dxa"/>
          </w:tcPr>
          <w:p w14:paraId="24427A79" w14:textId="77777777" w:rsidR="008C10B0" w:rsidRPr="00F3142D" w:rsidRDefault="008C10B0" w:rsidP="008C10B0">
            <w:pPr>
              <w:pStyle w:val="Texto"/>
              <w:spacing w:after="0" w:line="240" w:lineRule="exact"/>
              <w:ind w:firstLine="0"/>
              <w:jc w:val="center"/>
              <w:rPr>
                <w:color w:val="000000"/>
                <w:szCs w:val="18"/>
              </w:rPr>
            </w:pPr>
          </w:p>
          <w:p w14:paraId="25612B7B" w14:textId="77777777" w:rsidR="008C10B0" w:rsidRPr="00F3142D" w:rsidRDefault="008C10B0" w:rsidP="008C10B0">
            <w:pPr>
              <w:pStyle w:val="Texto"/>
              <w:spacing w:after="0" w:line="240" w:lineRule="exact"/>
              <w:ind w:firstLine="0"/>
              <w:jc w:val="center"/>
              <w:rPr>
                <w:color w:val="000000"/>
                <w:szCs w:val="18"/>
              </w:rPr>
            </w:pPr>
          </w:p>
          <w:p w14:paraId="1BCDD804" w14:textId="77777777" w:rsidR="008C10B0" w:rsidRPr="00F3142D" w:rsidRDefault="008C10B0" w:rsidP="008C10B0">
            <w:pPr>
              <w:pStyle w:val="Texto"/>
              <w:spacing w:after="0" w:line="240" w:lineRule="exact"/>
              <w:ind w:firstLine="0"/>
              <w:jc w:val="center"/>
              <w:rPr>
                <w:color w:val="000000"/>
                <w:szCs w:val="18"/>
              </w:rPr>
            </w:pPr>
            <w:r w:rsidRPr="00F3142D">
              <w:rPr>
                <w:color w:val="000000"/>
                <w:szCs w:val="18"/>
              </w:rPr>
              <w:t>____________________________________</w:t>
            </w:r>
          </w:p>
          <w:p w14:paraId="42E4CC1F" w14:textId="77777777" w:rsidR="008C10B0" w:rsidRPr="00F3142D" w:rsidRDefault="008C10B0" w:rsidP="008C10B0">
            <w:pPr>
              <w:pStyle w:val="Texto"/>
              <w:spacing w:after="0" w:line="240" w:lineRule="exact"/>
              <w:ind w:firstLine="0"/>
              <w:jc w:val="center"/>
              <w:rPr>
                <w:color w:val="000000"/>
                <w:szCs w:val="18"/>
              </w:rPr>
            </w:pPr>
            <w:r w:rsidRPr="00F3142D">
              <w:rPr>
                <w:color w:val="000000"/>
                <w:szCs w:val="18"/>
              </w:rPr>
              <w:t>C.P. Román Muñoz Calva</w:t>
            </w:r>
          </w:p>
          <w:p w14:paraId="5E77A3B7" w14:textId="77777777" w:rsidR="008C10B0" w:rsidRDefault="008C10B0" w:rsidP="008C10B0">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14:paraId="2ED0973F" w14:textId="77777777" w:rsidR="008C10B0" w:rsidRDefault="008C10B0" w:rsidP="008C10B0">
            <w:pPr>
              <w:pStyle w:val="Texto"/>
              <w:spacing w:after="0" w:line="240" w:lineRule="exact"/>
              <w:ind w:firstLine="0"/>
              <w:jc w:val="center"/>
              <w:rPr>
                <w:szCs w:val="18"/>
              </w:rPr>
            </w:pPr>
          </w:p>
        </w:tc>
      </w:tr>
    </w:tbl>
    <w:p w14:paraId="035581AA" w14:textId="77777777" w:rsidR="008C10B0" w:rsidRDefault="008C10B0" w:rsidP="008C10B0">
      <w:pPr>
        <w:pStyle w:val="Texto"/>
        <w:spacing w:after="0" w:line="240" w:lineRule="exact"/>
        <w:rPr>
          <w:szCs w:val="18"/>
        </w:rPr>
      </w:pPr>
    </w:p>
    <w:p w14:paraId="7CEE11DB" w14:textId="77777777" w:rsidR="002D48B0" w:rsidRDefault="002D48B0" w:rsidP="008C10B0">
      <w:pPr>
        <w:pStyle w:val="Texto"/>
        <w:spacing w:after="0" w:line="276" w:lineRule="auto"/>
        <w:jc w:val="center"/>
        <w:rPr>
          <w:b/>
          <w:szCs w:val="18"/>
        </w:rPr>
      </w:pPr>
    </w:p>
    <w:p w14:paraId="542FF279" w14:textId="77777777" w:rsidR="002D48B0" w:rsidRDefault="002D48B0" w:rsidP="008C10B0">
      <w:pPr>
        <w:pStyle w:val="Texto"/>
        <w:spacing w:after="0" w:line="276" w:lineRule="auto"/>
        <w:jc w:val="center"/>
        <w:rPr>
          <w:b/>
          <w:szCs w:val="18"/>
        </w:rPr>
      </w:pPr>
    </w:p>
    <w:p w14:paraId="025C0092" w14:textId="77777777" w:rsidR="008C10B0" w:rsidRPr="0073056A" w:rsidRDefault="008C10B0" w:rsidP="008C10B0">
      <w:pPr>
        <w:pStyle w:val="Texto"/>
        <w:spacing w:after="0" w:line="276" w:lineRule="auto"/>
        <w:jc w:val="center"/>
        <w:rPr>
          <w:b/>
          <w:szCs w:val="18"/>
        </w:rPr>
      </w:pPr>
      <w:r w:rsidRPr="0073056A">
        <w:rPr>
          <w:b/>
          <w:szCs w:val="18"/>
        </w:rPr>
        <w:t>NOTAS A LOS ESTADOS FINANCIEROS</w:t>
      </w:r>
    </w:p>
    <w:p w14:paraId="1E8EA227" w14:textId="77777777" w:rsidR="008C10B0" w:rsidRDefault="008C10B0" w:rsidP="008C10B0">
      <w:pPr>
        <w:pStyle w:val="Texto"/>
        <w:spacing w:after="0" w:line="276" w:lineRule="auto"/>
        <w:jc w:val="center"/>
        <w:rPr>
          <w:b/>
          <w:szCs w:val="18"/>
        </w:rPr>
      </w:pPr>
    </w:p>
    <w:p w14:paraId="60EF8617" w14:textId="77777777" w:rsidR="008C10B0" w:rsidRPr="0073056A" w:rsidRDefault="008C10B0" w:rsidP="008C10B0">
      <w:pPr>
        <w:pStyle w:val="Texto"/>
        <w:spacing w:after="0" w:line="276" w:lineRule="auto"/>
        <w:jc w:val="center"/>
        <w:rPr>
          <w:szCs w:val="18"/>
        </w:rPr>
      </w:pPr>
      <w:r w:rsidRPr="0073056A">
        <w:rPr>
          <w:b/>
          <w:szCs w:val="18"/>
        </w:rPr>
        <w:t>a) NOTAS DE DESGLOSE</w:t>
      </w:r>
    </w:p>
    <w:p w14:paraId="5FF7FB9E" w14:textId="77777777" w:rsidR="008C10B0" w:rsidRDefault="008C10B0" w:rsidP="008C10B0">
      <w:pPr>
        <w:pStyle w:val="Texto"/>
        <w:spacing w:after="0" w:line="276" w:lineRule="auto"/>
        <w:rPr>
          <w:szCs w:val="18"/>
          <w:lang w:val="es-MX"/>
        </w:rPr>
      </w:pPr>
    </w:p>
    <w:p w14:paraId="477CBF61" w14:textId="77777777" w:rsidR="008C10B0" w:rsidRPr="0073056A" w:rsidRDefault="008C10B0" w:rsidP="008C10B0">
      <w:pPr>
        <w:pStyle w:val="INCISO"/>
        <w:tabs>
          <w:tab w:val="left" w:pos="284"/>
        </w:tabs>
        <w:spacing w:after="0" w:line="276" w:lineRule="auto"/>
        <w:ind w:left="284" w:firstLine="0"/>
        <w:rPr>
          <w:b/>
          <w:smallCaps/>
        </w:rPr>
      </w:pPr>
      <w:r w:rsidRPr="0073056A">
        <w:rPr>
          <w:b/>
          <w:smallCaps/>
        </w:rPr>
        <w:t>I)</w:t>
      </w:r>
      <w:r w:rsidRPr="0073056A">
        <w:rPr>
          <w:b/>
          <w:smallCaps/>
        </w:rPr>
        <w:tab/>
        <w:t>Notas al Estado de Actividades</w:t>
      </w:r>
    </w:p>
    <w:p w14:paraId="17C6C40F" w14:textId="77777777" w:rsidR="008C10B0" w:rsidRPr="0073056A" w:rsidRDefault="008C10B0" w:rsidP="008C10B0">
      <w:pPr>
        <w:pStyle w:val="INCISO"/>
        <w:tabs>
          <w:tab w:val="left" w:pos="284"/>
        </w:tabs>
        <w:spacing w:after="0" w:line="276" w:lineRule="auto"/>
        <w:ind w:left="284" w:firstLine="0"/>
        <w:rPr>
          <w:b/>
          <w:smallCaps/>
        </w:rPr>
      </w:pPr>
    </w:p>
    <w:p w14:paraId="3F5C226E" w14:textId="4E5407AE" w:rsidR="008C10B0" w:rsidRDefault="008C10B0" w:rsidP="008C10B0">
      <w:pPr>
        <w:tabs>
          <w:tab w:val="left" w:pos="284"/>
        </w:tabs>
        <w:ind w:left="284"/>
        <w:jc w:val="both"/>
        <w:rPr>
          <w:rFonts w:ascii="Arial" w:hAnsi="Arial" w:cs="Arial"/>
          <w:sz w:val="18"/>
          <w:szCs w:val="18"/>
        </w:rPr>
      </w:pPr>
      <w:r>
        <w:rPr>
          <w:rFonts w:ascii="Arial" w:hAnsi="Arial" w:cs="Arial"/>
          <w:sz w:val="18"/>
          <w:szCs w:val="18"/>
          <w:lang w:val="es-ES"/>
        </w:rPr>
        <w:t xml:space="preserve">Al </w:t>
      </w:r>
      <w:r w:rsidR="00CB2620">
        <w:rPr>
          <w:rFonts w:ascii="Arial" w:hAnsi="Arial" w:cs="Arial"/>
          <w:sz w:val="18"/>
          <w:szCs w:val="18"/>
          <w:lang w:val="es-ES"/>
        </w:rPr>
        <w:t>tercer</w:t>
      </w:r>
      <w:r>
        <w:rPr>
          <w:rFonts w:ascii="Arial" w:hAnsi="Arial" w:cs="Arial"/>
          <w:sz w:val="18"/>
          <w:szCs w:val="18"/>
          <w:lang w:val="es-ES"/>
        </w:rPr>
        <w:t xml:space="preserve"> trimestre </w:t>
      </w:r>
      <w:r>
        <w:rPr>
          <w:rFonts w:ascii="Arial" w:hAnsi="Arial" w:cs="Arial"/>
          <w:sz w:val="18"/>
          <w:szCs w:val="18"/>
        </w:rPr>
        <w:t>del ejercicio 202</w:t>
      </w:r>
      <w:r w:rsidR="007058F3">
        <w:rPr>
          <w:rFonts w:ascii="Arial" w:hAnsi="Arial" w:cs="Arial"/>
          <w:sz w:val="18"/>
          <w:szCs w:val="18"/>
        </w:rPr>
        <w:t>5</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CB2620">
        <w:rPr>
          <w:rFonts w:ascii="Arial" w:hAnsi="Arial" w:cs="Arial"/>
          <w:sz w:val="18"/>
          <w:szCs w:val="18"/>
        </w:rPr>
        <w:t>23</w:t>
      </w:r>
      <w:r>
        <w:rPr>
          <w:rFonts w:ascii="Arial" w:hAnsi="Arial" w:cs="Arial"/>
          <w:sz w:val="18"/>
          <w:szCs w:val="18"/>
        </w:rPr>
        <w:t>,</w:t>
      </w:r>
      <w:r w:rsidR="00CB2620">
        <w:rPr>
          <w:rFonts w:ascii="Arial" w:hAnsi="Arial" w:cs="Arial"/>
          <w:sz w:val="18"/>
          <w:szCs w:val="18"/>
        </w:rPr>
        <w:t>822</w:t>
      </w:r>
      <w:r>
        <w:rPr>
          <w:rFonts w:ascii="Arial" w:hAnsi="Arial" w:cs="Arial"/>
          <w:sz w:val="18"/>
          <w:szCs w:val="18"/>
        </w:rPr>
        <w:t>,</w:t>
      </w:r>
      <w:r w:rsidR="00CB2620">
        <w:rPr>
          <w:rFonts w:ascii="Arial" w:hAnsi="Arial" w:cs="Arial"/>
          <w:sz w:val="18"/>
          <w:szCs w:val="18"/>
        </w:rPr>
        <w:t>741</w:t>
      </w:r>
      <w:r>
        <w:rPr>
          <w:rFonts w:ascii="Arial" w:hAnsi="Arial" w:cs="Arial"/>
          <w:sz w:val="18"/>
          <w:szCs w:val="18"/>
        </w:rPr>
        <w:t>,</w:t>
      </w:r>
      <w:r w:rsidR="00CB2620">
        <w:rPr>
          <w:rFonts w:ascii="Arial" w:hAnsi="Arial" w:cs="Arial"/>
          <w:sz w:val="18"/>
          <w:szCs w:val="18"/>
        </w:rPr>
        <w:t>288</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CB2620">
        <w:rPr>
          <w:rFonts w:ascii="Arial" w:hAnsi="Arial" w:cs="Arial"/>
          <w:sz w:val="18"/>
          <w:szCs w:val="18"/>
        </w:rPr>
        <w:t>20</w:t>
      </w:r>
      <w:r>
        <w:rPr>
          <w:rFonts w:ascii="Arial" w:hAnsi="Arial" w:cs="Arial"/>
          <w:sz w:val="18"/>
          <w:szCs w:val="18"/>
        </w:rPr>
        <w:t>,</w:t>
      </w:r>
      <w:r w:rsidR="00CB2620">
        <w:rPr>
          <w:rFonts w:ascii="Arial" w:hAnsi="Arial" w:cs="Arial"/>
          <w:sz w:val="18"/>
          <w:szCs w:val="18"/>
        </w:rPr>
        <w:t>173</w:t>
      </w:r>
      <w:r>
        <w:rPr>
          <w:rFonts w:ascii="Arial" w:hAnsi="Arial" w:cs="Arial"/>
          <w:sz w:val="18"/>
          <w:szCs w:val="18"/>
        </w:rPr>
        <w:t>,</w:t>
      </w:r>
      <w:r w:rsidR="00CB2620">
        <w:rPr>
          <w:rFonts w:ascii="Arial" w:hAnsi="Arial" w:cs="Arial"/>
          <w:sz w:val="18"/>
          <w:szCs w:val="18"/>
        </w:rPr>
        <w:t>900</w:t>
      </w:r>
      <w:r>
        <w:rPr>
          <w:rFonts w:ascii="Arial" w:hAnsi="Arial" w:cs="Arial"/>
          <w:sz w:val="18"/>
          <w:szCs w:val="18"/>
        </w:rPr>
        <w:t>,</w:t>
      </w:r>
      <w:r w:rsidR="00CB2620">
        <w:rPr>
          <w:rFonts w:ascii="Arial" w:hAnsi="Arial" w:cs="Arial"/>
          <w:sz w:val="18"/>
          <w:szCs w:val="18"/>
        </w:rPr>
        <w:t>587</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CB2620">
        <w:rPr>
          <w:rFonts w:ascii="Arial" w:hAnsi="Arial" w:cs="Arial"/>
          <w:sz w:val="18"/>
          <w:szCs w:val="18"/>
        </w:rPr>
        <w:t>3</w:t>
      </w:r>
      <w:r>
        <w:rPr>
          <w:rFonts w:ascii="Arial" w:hAnsi="Arial" w:cs="Arial"/>
          <w:sz w:val="18"/>
          <w:szCs w:val="18"/>
        </w:rPr>
        <w:t>,</w:t>
      </w:r>
      <w:r w:rsidR="00CB2620">
        <w:rPr>
          <w:rFonts w:ascii="Arial" w:hAnsi="Arial" w:cs="Arial"/>
          <w:sz w:val="18"/>
          <w:szCs w:val="18"/>
        </w:rPr>
        <w:t>64</w:t>
      </w:r>
      <w:r w:rsidR="007058F3">
        <w:rPr>
          <w:rFonts w:ascii="Arial" w:hAnsi="Arial" w:cs="Arial"/>
          <w:sz w:val="18"/>
          <w:szCs w:val="18"/>
        </w:rPr>
        <w:t>8</w:t>
      </w:r>
      <w:r>
        <w:rPr>
          <w:rFonts w:ascii="Arial" w:hAnsi="Arial" w:cs="Arial"/>
          <w:sz w:val="18"/>
          <w:szCs w:val="18"/>
        </w:rPr>
        <w:t>,</w:t>
      </w:r>
      <w:r w:rsidR="00CB2620">
        <w:rPr>
          <w:rFonts w:ascii="Arial" w:hAnsi="Arial" w:cs="Arial"/>
          <w:sz w:val="18"/>
          <w:szCs w:val="18"/>
        </w:rPr>
        <w:t>84</w:t>
      </w:r>
      <w:r w:rsidR="007058F3">
        <w:rPr>
          <w:rFonts w:ascii="Arial" w:hAnsi="Arial" w:cs="Arial"/>
          <w:sz w:val="18"/>
          <w:szCs w:val="18"/>
        </w:rPr>
        <w:t>0</w:t>
      </w:r>
      <w:r>
        <w:rPr>
          <w:rFonts w:ascii="Arial" w:hAnsi="Arial" w:cs="Arial"/>
          <w:sz w:val="18"/>
          <w:szCs w:val="18"/>
        </w:rPr>
        <w:t>,</w:t>
      </w:r>
      <w:r w:rsidR="00CB2620">
        <w:rPr>
          <w:rFonts w:ascii="Arial" w:hAnsi="Arial" w:cs="Arial"/>
          <w:sz w:val="18"/>
          <w:szCs w:val="18"/>
        </w:rPr>
        <w:t>701</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 xml:space="preserve">ca y financiera realizada en el periodo, mismo que es </w:t>
      </w:r>
      <w:r w:rsidR="00CB2620">
        <w:rPr>
          <w:rFonts w:ascii="Arial" w:hAnsi="Arial" w:cs="Arial"/>
          <w:sz w:val="18"/>
          <w:szCs w:val="18"/>
        </w:rPr>
        <w:t>may</w:t>
      </w:r>
      <w:r w:rsidR="007058F3">
        <w:rPr>
          <w:rFonts w:ascii="Arial" w:hAnsi="Arial" w:cs="Arial"/>
          <w:sz w:val="18"/>
          <w:szCs w:val="18"/>
        </w:rPr>
        <w:t>or</w:t>
      </w:r>
      <w:r>
        <w:rPr>
          <w:rFonts w:ascii="Arial" w:hAnsi="Arial" w:cs="Arial"/>
          <w:sz w:val="18"/>
          <w:szCs w:val="18"/>
        </w:rPr>
        <w:t xml:space="preserve"> en un </w:t>
      </w:r>
      <w:r w:rsidR="00CB2620">
        <w:rPr>
          <w:rFonts w:ascii="Arial" w:hAnsi="Arial" w:cs="Arial"/>
          <w:sz w:val="18"/>
          <w:szCs w:val="18"/>
        </w:rPr>
        <w:t>66</w:t>
      </w:r>
      <w:r>
        <w:rPr>
          <w:rFonts w:ascii="Arial" w:hAnsi="Arial" w:cs="Arial"/>
          <w:sz w:val="18"/>
          <w:szCs w:val="18"/>
        </w:rPr>
        <w:t>%, respecto al ejercicio de 202</w:t>
      </w:r>
      <w:r w:rsidR="007058F3">
        <w:rPr>
          <w:rFonts w:ascii="Arial" w:hAnsi="Arial" w:cs="Arial"/>
          <w:sz w:val="18"/>
          <w:szCs w:val="18"/>
        </w:rPr>
        <w:t>4</w:t>
      </w:r>
      <w:r w:rsidRPr="0073056A">
        <w:rPr>
          <w:rFonts w:ascii="Arial" w:hAnsi="Arial" w:cs="Arial"/>
          <w:sz w:val="18"/>
          <w:szCs w:val="18"/>
        </w:rPr>
        <w:t>.</w:t>
      </w:r>
    </w:p>
    <w:p w14:paraId="4CA1AB87" w14:textId="77777777" w:rsidR="008C10B0" w:rsidRPr="0073056A" w:rsidRDefault="008C10B0" w:rsidP="008C10B0">
      <w:pPr>
        <w:tabs>
          <w:tab w:val="left" w:pos="284"/>
        </w:tabs>
        <w:ind w:left="284"/>
        <w:jc w:val="both"/>
        <w:rPr>
          <w:b/>
        </w:rPr>
      </w:pPr>
      <w:r w:rsidRPr="0073056A">
        <w:rPr>
          <w:b/>
        </w:rPr>
        <w:t>Ingresos de Gestión</w:t>
      </w:r>
    </w:p>
    <w:p w14:paraId="713E4483"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14:paraId="7CD75A0F" w14:textId="55FA818A" w:rsidR="008C10B0" w:rsidRPr="0073056A"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CB2620">
        <w:rPr>
          <w:rFonts w:ascii="Arial" w:hAnsi="Arial" w:cs="Arial"/>
          <w:sz w:val="18"/>
          <w:szCs w:val="18"/>
        </w:rPr>
        <w:t>septiembre</w:t>
      </w:r>
      <w:r>
        <w:rPr>
          <w:rFonts w:ascii="Arial" w:hAnsi="Arial" w:cs="Arial"/>
          <w:sz w:val="18"/>
          <w:szCs w:val="18"/>
        </w:rPr>
        <w:t xml:space="preserve"> de 202</w:t>
      </w:r>
      <w:r w:rsidR="007058F3">
        <w:rPr>
          <w:rFonts w:ascii="Arial" w:hAnsi="Arial" w:cs="Arial"/>
          <w:sz w:val="18"/>
          <w:szCs w:val="18"/>
        </w:rPr>
        <w:t>5</w:t>
      </w:r>
      <w:r w:rsidRPr="0073056A">
        <w:rPr>
          <w:rFonts w:ascii="Arial" w:hAnsi="Arial" w:cs="Arial"/>
          <w:sz w:val="18"/>
          <w:szCs w:val="18"/>
        </w:rPr>
        <w:t xml:space="preserve"> se recaudó la cantidad de $</w:t>
      </w:r>
      <w:r w:rsidR="00BC10E3">
        <w:rPr>
          <w:rFonts w:ascii="Arial" w:hAnsi="Arial" w:cs="Arial"/>
          <w:sz w:val="18"/>
          <w:szCs w:val="18"/>
        </w:rPr>
        <w:t>857</w:t>
      </w:r>
      <w:r w:rsidR="007058F3">
        <w:rPr>
          <w:rFonts w:ascii="Arial" w:hAnsi="Arial" w:cs="Arial"/>
          <w:sz w:val="18"/>
          <w:szCs w:val="18"/>
        </w:rPr>
        <w:t>,</w:t>
      </w:r>
      <w:r w:rsidR="00BC10E3">
        <w:rPr>
          <w:rFonts w:ascii="Arial" w:hAnsi="Arial" w:cs="Arial"/>
          <w:sz w:val="18"/>
          <w:szCs w:val="18"/>
        </w:rPr>
        <w:t>175</w:t>
      </w:r>
      <w:r w:rsidR="007058F3">
        <w:rPr>
          <w:rFonts w:ascii="Arial" w:hAnsi="Arial" w:cs="Arial"/>
          <w:sz w:val="18"/>
          <w:szCs w:val="18"/>
        </w:rPr>
        <w:t>,</w:t>
      </w:r>
      <w:r w:rsidR="00BC10E3">
        <w:rPr>
          <w:rFonts w:ascii="Arial" w:hAnsi="Arial" w:cs="Arial"/>
          <w:sz w:val="18"/>
          <w:szCs w:val="18"/>
        </w:rPr>
        <w:t>58</w:t>
      </w:r>
      <w:r w:rsidR="007058F3">
        <w:rPr>
          <w:rFonts w:ascii="Arial" w:hAnsi="Arial" w:cs="Arial"/>
          <w:sz w:val="18"/>
          <w:szCs w:val="18"/>
        </w:rPr>
        <w:t>5</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BC10E3">
        <w:rPr>
          <w:rFonts w:ascii="Arial" w:hAnsi="Arial" w:cs="Arial"/>
          <w:sz w:val="18"/>
          <w:szCs w:val="18"/>
        </w:rPr>
        <w:t>800</w:t>
      </w:r>
      <w:r w:rsidR="007058F3">
        <w:rPr>
          <w:rFonts w:ascii="Arial" w:hAnsi="Arial" w:cs="Arial"/>
          <w:sz w:val="18"/>
          <w:szCs w:val="18"/>
        </w:rPr>
        <w:t>,</w:t>
      </w:r>
      <w:r w:rsidR="00BC10E3">
        <w:rPr>
          <w:rFonts w:ascii="Arial" w:hAnsi="Arial" w:cs="Arial"/>
          <w:sz w:val="18"/>
          <w:szCs w:val="18"/>
        </w:rPr>
        <w:t>566</w:t>
      </w:r>
      <w:r w:rsidR="007058F3">
        <w:rPr>
          <w:rFonts w:ascii="Arial" w:hAnsi="Arial" w:cs="Arial"/>
          <w:sz w:val="18"/>
          <w:szCs w:val="18"/>
        </w:rPr>
        <w:t>,</w:t>
      </w:r>
      <w:r w:rsidR="00BC10E3">
        <w:rPr>
          <w:rFonts w:ascii="Arial" w:hAnsi="Arial" w:cs="Arial"/>
          <w:sz w:val="18"/>
          <w:szCs w:val="18"/>
        </w:rPr>
        <w:t>750</w:t>
      </w:r>
      <w:r>
        <w:rPr>
          <w:rFonts w:ascii="Arial" w:hAnsi="Arial" w:cs="Arial"/>
          <w:sz w:val="18"/>
          <w:szCs w:val="18"/>
        </w:rPr>
        <w:t>; sobre la Producción, el Consumo y las transacciones por un importe de $</w:t>
      </w:r>
      <w:r w:rsidR="00BC10E3">
        <w:rPr>
          <w:rFonts w:ascii="Arial" w:hAnsi="Arial" w:cs="Arial"/>
          <w:sz w:val="18"/>
          <w:szCs w:val="18"/>
        </w:rPr>
        <w:t>29</w:t>
      </w:r>
      <w:r>
        <w:rPr>
          <w:rFonts w:ascii="Arial" w:hAnsi="Arial" w:cs="Arial"/>
          <w:sz w:val="18"/>
          <w:szCs w:val="18"/>
        </w:rPr>
        <w:t>,</w:t>
      </w:r>
      <w:r w:rsidR="00BC10E3">
        <w:rPr>
          <w:rFonts w:ascii="Arial" w:hAnsi="Arial" w:cs="Arial"/>
          <w:sz w:val="18"/>
          <w:szCs w:val="18"/>
        </w:rPr>
        <w:t>118</w:t>
      </w:r>
      <w:r>
        <w:rPr>
          <w:rFonts w:ascii="Arial" w:hAnsi="Arial" w:cs="Arial"/>
          <w:sz w:val="18"/>
          <w:szCs w:val="18"/>
        </w:rPr>
        <w:t>,</w:t>
      </w:r>
      <w:r w:rsidR="00BC10E3">
        <w:rPr>
          <w:rFonts w:ascii="Arial" w:hAnsi="Arial" w:cs="Arial"/>
          <w:sz w:val="18"/>
          <w:szCs w:val="18"/>
        </w:rPr>
        <w:t>324</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BC10E3">
        <w:rPr>
          <w:rFonts w:ascii="Arial" w:hAnsi="Arial" w:cs="Arial"/>
          <w:sz w:val="18"/>
          <w:szCs w:val="18"/>
        </w:rPr>
        <w:t>11</w:t>
      </w:r>
      <w:r>
        <w:rPr>
          <w:rFonts w:ascii="Arial" w:hAnsi="Arial" w:cs="Arial"/>
          <w:sz w:val="18"/>
          <w:szCs w:val="18"/>
        </w:rPr>
        <w:t>,</w:t>
      </w:r>
      <w:r w:rsidR="00BC10E3">
        <w:rPr>
          <w:rFonts w:ascii="Arial" w:hAnsi="Arial" w:cs="Arial"/>
          <w:sz w:val="18"/>
          <w:szCs w:val="18"/>
        </w:rPr>
        <w:t>196</w:t>
      </w:r>
      <w:r>
        <w:rPr>
          <w:rFonts w:ascii="Arial" w:hAnsi="Arial" w:cs="Arial"/>
          <w:sz w:val="18"/>
          <w:szCs w:val="18"/>
        </w:rPr>
        <w:t>,</w:t>
      </w:r>
      <w:r w:rsidR="00BC10E3">
        <w:rPr>
          <w:rFonts w:ascii="Arial" w:hAnsi="Arial" w:cs="Arial"/>
          <w:sz w:val="18"/>
          <w:szCs w:val="18"/>
        </w:rPr>
        <w:t>322</w:t>
      </w:r>
      <w:r>
        <w:rPr>
          <w:rFonts w:ascii="Arial" w:hAnsi="Arial" w:cs="Arial"/>
          <w:sz w:val="18"/>
          <w:szCs w:val="18"/>
        </w:rPr>
        <w:t xml:space="preserve">. Presentando un diferencial </w:t>
      </w:r>
      <w:r w:rsidR="00513508">
        <w:rPr>
          <w:rFonts w:ascii="Arial" w:hAnsi="Arial" w:cs="Arial"/>
          <w:sz w:val="18"/>
          <w:szCs w:val="18"/>
        </w:rPr>
        <w:t>negativo</w:t>
      </w:r>
      <w:r>
        <w:rPr>
          <w:rFonts w:ascii="Arial" w:hAnsi="Arial" w:cs="Arial"/>
          <w:sz w:val="18"/>
          <w:szCs w:val="18"/>
        </w:rPr>
        <w:t xml:space="preserve"> en impuestos del </w:t>
      </w:r>
      <w:r w:rsidR="00BC10E3">
        <w:rPr>
          <w:rFonts w:ascii="Arial" w:hAnsi="Arial" w:cs="Arial"/>
          <w:sz w:val="18"/>
          <w:szCs w:val="18"/>
        </w:rPr>
        <w:t>16</w:t>
      </w:r>
      <w:r>
        <w:rPr>
          <w:rFonts w:ascii="Arial" w:hAnsi="Arial" w:cs="Arial"/>
          <w:sz w:val="18"/>
          <w:szCs w:val="18"/>
        </w:rPr>
        <w:t>% respecto del ejercicio 202</w:t>
      </w:r>
      <w:r w:rsidR="00513508">
        <w:rPr>
          <w:rFonts w:ascii="Arial" w:hAnsi="Arial" w:cs="Arial"/>
          <w:sz w:val="18"/>
          <w:szCs w:val="18"/>
        </w:rPr>
        <w:t>4</w:t>
      </w:r>
      <w:r>
        <w:rPr>
          <w:rFonts w:ascii="Arial" w:hAnsi="Arial" w:cs="Arial"/>
          <w:sz w:val="18"/>
          <w:szCs w:val="18"/>
        </w:rPr>
        <w:t>.</w:t>
      </w:r>
    </w:p>
    <w:p w14:paraId="6CA6F70B" w14:textId="77777777" w:rsidR="008C10B0" w:rsidRDefault="008C10B0" w:rsidP="008C10B0">
      <w:pPr>
        <w:tabs>
          <w:tab w:val="left" w:pos="284"/>
        </w:tabs>
        <w:spacing w:after="0"/>
        <w:ind w:left="284"/>
        <w:jc w:val="both"/>
        <w:rPr>
          <w:rFonts w:ascii="Arial" w:hAnsi="Arial" w:cs="Arial"/>
          <w:b/>
          <w:sz w:val="18"/>
          <w:szCs w:val="18"/>
        </w:rPr>
      </w:pPr>
    </w:p>
    <w:p w14:paraId="5C605C1A"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14:paraId="77BA3C11" w14:textId="438C1F23" w:rsidR="008C10B0" w:rsidRPr="0073056A"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BC10E3">
        <w:rPr>
          <w:rFonts w:ascii="Arial" w:hAnsi="Arial" w:cs="Arial"/>
          <w:sz w:val="18"/>
          <w:szCs w:val="18"/>
        </w:rPr>
        <w:t>septiembre</w:t>
      </w:r>
      <w:r>
        <w:rPr>
          <w:rFonts w:ascii="Arial" w:hAnsi="Arial" w:cs="Arial"/>
          <w:sz w:val="18"/>
          <w:szCs w:val="18"/>
        </w:rPr>
        <w:t xml:space="preserve"> es por</w:t>
      </w:r>
      <w:r w:rsidRPr="0073056A">
        <w:rPr>
          <w:rFonts w:ascii="Arial" w:hAnsi="Arial" w:cs="Arial"/>
          <w:sz w:val="18"/>
          <w:szCs w:val="18"/>
        </w:rPr>
        <w:t xml:space="preserve"> un monto de $</w:t>
      </w:r>
      <w:r w:rsidR="00BC10E3">
        <w:rPr>
          <w:rFonts w:ascii="Arial" w:hAnsi="Arial" w:cs="Arial"/>
          <w:sz w:val="18"/>
          <w:szCs w:val="18"/>
        </w:rPr>
        <w:t>544</w:t>
      </w:r>
      <w:r w:rsidR="00513508">
        <w:rPr>
          <w:rFonts w:ascii="Arial" w:hAnsi="Arial" w:cs="Arial"/>
          <w:sz w:val="18"/>
          <w:szCs w:val="18"/>
        </w:rPr>
        <w:t>,</w:t>
      </w:r>
      <w:r w:rsidR="00BC10E3">
        <w:rPr>
          <w:rFonts w:ascii="Arial" w:hAnsi="Arial" w:cs="Arial"/>
          <w:sz w:val="18"/>
          <w:szCs w:val="18"/>
        </w:rPr>
        <w:t>689</w:t>
      </w:r>
      <w:r w:rsidR="00513508">
        <w:rPr>
          <w:rFonts w:ascii="Arial" w:hAnsi="Arial" w:cs="Arial"/>
          <w:sz w:val="18"/>
          <w:szCs w:val="18"/>
        </w:rPr>
        <w:t>,</w:t>
      </w:r>
      <w:r w:rsidR="00BC10E3">
        <w:rPr>
          <w:rFonts w:ascii="Arial" w:hAnsi="Arial" w:cs="Arial"/>
          <w:sz w:val="18"/>
          <w:szCs w:val="18"/>
        </w:rPr>
        <w:t>821</w:t>
      </w:r>
      <w:r w:rsidRPr="0073056A">
        <w:rPr>
          <w:rFonts w:ascii="Arial" w:hAnsi="Arial" w:cs="Arial"/>
          <w:sz w:val="18"/>
          <w:szCs w:val="18"/>
        </w:rPr>
        <w:t>.</w:t>
      </w:r>
      <w:r>
        <w:rPr>
          <w:rFonts w:ascii="Arial" w:hAnsi="Arial" w:cs="Arial"/>
          <w:sz w:val="18"/>
          <w:szCs w:val="18"/>
        </w:rPr>
        <w:t xml:space="preserve"> Mostrando un decremento del </w:t>
      </w:r>
      <w:r w:rsidR="00BC10E3">
        <w:rPr>
          <w:rFonts w:ascii="Arial" w:hAnsi="Arial" w:cs="Arial"/>
          <w:sz w:val="18"/>
          <w:szCs w:val="18"/>
        </w:rPr>
        <w:t>20</w:t>
      </w:r>
      <w:r>
        <w:rPr>
          <w:rFonts w:ascii="Arial" w:hAnsi="Arial" w:cs="Arial"/>
          <w:sz w:val="18"/>
          <w:szCs w:val="18"/>
        </w:rPr>
        <w:t>% respecto al ejercicio de 202</w:t>
      </w:r>
      <w:r w:rsidR="00513508">
        <w:rPr>
          <w:rFonts w:ascii="Arial" w:hAnsi="Arial" w:cs="Arial"/>
          <w:sz w:val="18"/>
          <w:szCs w:val="18"/>
        </w:rPr>
        <w:t>4</w:t>
      </w:r>
      <w:r>
        <w:rPr>
          <w:rFonts w:ascii="Arial" w:hAnsi="Arial" w:cs="Arial"/>
          <w:sz w:val="18"/>
          <w:szCs w:val="18"/>
        </w:rPr>
        <w:t>.</w:t>
      </w:r>
    </w:p>
    <w:p w14:paraId="3E9F4439" w14:textId="77777777" w:rsidR="008C10B0" w:rsidRDefault="008C10B0" w:rsidP="008C10B0">
      <w:pPr>
        <w:tabs>
          <w:tab w:val="left" w:pos="284"/>
        </w:tabs>
        <w:spacing w:after="0"/>
        <w:ind w:left="284"/>
        <w:jc w:val="both"/>
        <w:rPr>
          <w:rFonts w:ascii="Arial" w:hAnsi="Arial" w:cs="Arial"/>
          <w:b/>
          <w:sz w:val="18"/>
          <w:szCs w:val="18"/>
        </w:rPr>
      </w:pPr>
    </w:p>
    <w:p w14:paraId="7F0915D8"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14:paraId="1A980931" w14:textId="7158B910" w:rsidR="008C10B0"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BC10E3">
        <w:rPr>
          <w:rFonts w:ascii="Arial" w:hAnsi="Arial" w:cs="Arial"/>
          <w:sz w:val="18"/>
          <w:szCs w:val="18"/>
        </w:rPr>
        <w:t>septiembre</w:t>
      </w:r>
      <w:r>
        <w:rPr>
          <w:rFonts w:ascii="Arial" w:hAnsi="Arial" w:cs="Arial"/>
          <w:sz w:val="18"/>
          <w:szCs w:val="18"/>
        </w:rPr>
        <w:t xml:space="preserve"> es</w:t>
      </w:r>
      <w:r w:rsidRPr="0073056A">
        <w:rPr>
          <w:rFonts w:ascii="Arial" w:hAnsi="Arial" w:cs="Arial"/>
          <w:sz w:val="18"/>
          <w:szCs w:val="18"/>
        </w:rPr>
        <w:t xml:space="preserve"> de $</w:t>
      </w:r>
      <w:r w:rsidR="00BC10E3">
        <w:rPr>
          <w:rFonts w:ascii="Arial" w:hAnsi="Arial" w:cs="Arial"/>
          <w:sz w:val="18"/>
          <w:szCs w:val="18"/>
        </w:rPr>
        <w:t>262</w:t>
      </w:r>
      <w:r w:rsidRPr="00502DDD">
        <w:rPr>
          <w:rFonts w:ascii="Arial" w:hAnsi="Arial" w:cs="Arial"/>
          <w:sz w:val="18"/>
          <w:szCs w:val="18"/>
        </w:rPr>
        <w:t>,</w:t>
      </w:r>
      <w:r w:rsidR="00BC10E3">
        <w:rPr>
          <w:rFonts w:ascii="Arial" w:hAnsi="Arial" w:cs="Arial"/>
          <w:sz w:val="18"/>
          <w:szCs w:val="18"/>
        </w:rPr>
        <w:t>770</w:t>
      </w:r>
      <w:r w:rsidRPr="00502DDD">
        <w:rPr>
          <w:rFonts w:ascii="Arial" w:hAnsi="Arial" w:cs="Arial"/>
          <w:sz w:val="18"/>
          <w:szCs w:val="18"/>
        </w:rPr>
        <w:t>,</w:t>
      </w:r>
      <w:r w:rsidR="00BC10E3">
        <w:rPr>
          <w:rFonts w:ascii="Arial" w:hAnsi="Arial" w:cs="Arial"/>
          <w:sz w:val="18"/>
          <w:szCs w:val="18"/>
        </w:rPr>
        <w:t>820</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Municipios, presentando un </w:t>
      </w:r>
      <w:r w:rsidR="00513508">
        <w:rPr>
          <w:rFonts w:ascii="Arial" w:hAnsi="Arial" w:cs="Arial"/>
          <w:sz w:val="18"/>
          <w:szCs w:val="18"/>
        </w:rPr>
        <w:t>de</w:t>
      </w:r>
      <w:r>
        <w:rPr>
          <w:rFonts w:ascii="Arial" w:hAnsi="Arial" w:cs="Arial"/>
          <w:sz w:val="18"/>
          <w:szCs w:val="18"/>
        </w:rPr>
        <w:t xml:space="preserve">cremento del </w:t>
      </w:r>
      <w:r w:rsidR="00BC10E3">
        <w:rPr>
          <w:rFonts w:ascii="Arial" w:hAnsi="Arial" w:cs="Arial"/>
          <w:sz w:val="18"/>
          <w:szCs w:val="18"/>
        </w:rPr>
        <w:t>36</w:t>
      </w:r>
      <w:r>
        <w:rPr>
          <w:rFonts w:ascii="Arial" w:hAnsi="Arial" w:cs="Arial"/>
          <w:sz w:val="18"/>
          <w:szCs w:val="18"/>
        </w:rPr>
        <w:t>% respecto del ejercicio 202</w:t>
      </w:r>
      <w:r w:rsidR="00513508">
        <w:rPr>
          <w:rFonts w:ascii="Arial" w:hAnsi="Arial" w:cs="Arial"/>
          <w:sz w:val="18"/>
          <w:szCs w:val="18"/>
        </w:rPr>
        <w:t>4</w:t>
      </w:r>
      <w:r>
        <w:rPr>
          <w:rFonts w:ascii="Arial" w:hAnsi="Arial" w:cs="Arial"/>
          <w:sz w:val="18"/>
          <w:szCs w:val="18"/>
        </w:rPr>
        <w:t>.</w:t>
      </w:r>
    </w:p>
    <w:p w14:paraId="55A54AE1" w14:textId="77777777" w:rsidR="008C10B0" w:rsidRDefault="008C10B0" w:rsidP="008C10B0">
      <w:pPr>
        <w:tabs>
          <w:tab w:val="left" w:pos="284"/>
        </w:tabs>
        <w:spacing w:after="0"/>
        <w:ind w:left="284"/>
        <w:jc w:val="both"/>
        <w:rPr>
          <w:rFonts w:ascii="Arial" w:hAnsi="Arial" w:cs="Arial"/>
          <w:b/>
          <w:sz w:val="18"/>
          <w:szCs w:val="18"/>
        </w:rPr>
      </w:pPr>
    </w:p>
    <w:p w14:paraId="41368EC7"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14:paraId="6510377E" w14:textId="05B6544E" w:rsidR="008C10B0" w:rsidRPr="0073056A" w:rsidRDefault="008C10B0" w:rsidP="008C10B0">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BC10E3">
        <w:rPr>
          <w:rFonts w:ascii="Arial" w:hAnsi="Arial" w:cs="Arial"/>
          <w:sz w:val="18"/>
          <w:szCs w:val="18"/>
        </w:rPr>
        <w:t>septiembre</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202</w:t>
      </w:r>
      <w:r w:rsidR="00513508">
        <w:rPr>
          <w:rFonts w:ascii="Arial" w:hAnsi="Arial" w:cs="Arial"/>
          <w:sz w:val="18"/>
          <w:szCs w:val="18"/>
        </w:rPr>
        <w:t>5</w:t>
      </w:r>
      <w:r w:rsidRPr="0073056A">
        <w:rPr>
          <w:rFonts w:ascii="Arial" w:hAnsi="Arial" w:cs="Arial"/>
          <w:sz w:val="18"/>
          <w:szCs w:val="18"/>
        </w:rPr>
        <w:t>, el Estado obtuvo ingresos por concepto de Aprovechamientos por un monto de $</w:t>
      </w:r>
      <w:r w:rsidR="00BC10E3">
        <w:rPr>
          <w:rFonts w:ascii="Arial" w:hAnsi="Arial" w:cs="Arial"/>
          <w:sz w:val="18"/>
          <w:szCs w:val="18"/>
        </w:rPr>
        <w:t>1</w:t>
      </w:r>
      <w:r w:rsidR="00513508">
        <w:rPr>
          <w:rFonts w:ascii="Arial" w:hAnsi="Arial" w:cs="Arial"/>
          <w:sz w:val="18"/>
          <w:szCs w:val="18"/>
        </w:rPr>
        <w:t>,</w:t>
      </w:r>
      <w:r w:rsidR="00BC10E3">
        <w:rPr>
          <w:rFonts w:ascii="Arial" w:hAnsi="Arial" w:cs="Arial"/>
          <w:sz w:val="18"/>
          <w:szCs w:val="18"/>
        </w:rPr>
        <w:t>511,582</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Pr>
          <w:rFonts w:ascii="Arial" w:hAnsi="Arial" w:cs="Arial"/>
          <w:sz w:val="18"/>
          <w:szCs w:val="18"/>
        </w:rPr>
        <w:t xml:space="preserve"> Representando un </w:t>
      </w:r>
      <w:r w:rsidR="00513508">
        <w:rPr>
          <w:rFonts w:ascii="Arial" w:hAnsi="Arial" w:cs="Arial"/>
          <w:sz w:val="18"/>
          <w:szCs w:val="18"/>
        </w:rPr>
        <w:t xml:space="preserve">significativo </w:t>
      </w:r>
      <w:r>
        <w:rPr>
          <w:rFonts w:ascii="Arial" w:hAnsi="Arial" w:cs="Arial"/>
          <w:sz w:val="18"/>
          <w:szCs w:val="18"/>
        </w:rPr>
        <w:t>decremento en relación al ejercicio de 202</w:t>
      </w:r>
      <w:r w:rsidR="00513508">
        <w:rPr>
          <w:rFonts w:ascii="Arial" w:hAnsi="Arial" w:cs="Arial"/>
          <w:sz w:val="18"/>
          <w:szCs w:val="18"/>
        </w:rPr>
        <w:t>4</w:t>
      </w:r>
      <w:r>
        <w:rPr>
          <w:rFonts w:ascii="Arial" w:hAnsi="Arial" w:cs="Arial"/>
          <w:sz w:val="18"/>
          <w:szCs w:val="18"/>
        </w:rPr>
        <w:t>.</w:t>
      </w:r>
    </w:p>
    <w:p w14:paraId="3A2DB663" w14:textId="77777777" w:rsidR="008C10B0" w:rsidRPr="00E442EC" w:rsidRDefault="008C10B0" w:rsidP="008C10B0">
      <w:pPr>
        <w:tabs>
          <w:tab w:val="left" w:pos="284"/>
        </w:tabs>
        <w:spacing w:after="0"/>
        <w:ind w:left="284"/>
        <w:jc w:val="both"/>
        <w:rPr>
          <w:rFonts w:ascii="Arial" w:hAnsi="Arial" w:cs="Arial"/>
          <w:b/>
          <w:sz w:val="18"/>
          <w:szCs w:val="18"/>
        </w:rPr>
      </w:pPr>
    </w:p>
    <w:p w14:paraId="06BAD719" w14:textId="77777777" w:rsidR="008C10B0" w:rsidRPr="004C1616" w:rsidRDefault="008C10B0" w:rsidP="008C10B0">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14:paraId="48DA9979" w14:textId="25A9923A" w:rsidR="008C10B0" w:rsidRDefault="008C10B0" w:rsidP="008C10B0">
      <w:pPr>
        <w:tabs>
          <w:tab w:val="left" w:pos="284"/>
        </w:tabs>
        <w:spacing w:after="0"/>
        <w:ind w:left="284"/>
        <w:jc w:val="both"/>
        <w:rPr>
          <w:rFonts w:ascii="Arial" w:hAnsi="Arial" w:cs="Arial"/>
          <w:sz w:val="18"/>
          <w:szCs w:val="18"/>
        </w:rPr>
      </w:pPr>
      <w:r w:rsidRPr="004D6FA0">
        <w:rPr>
          <w:rFonts w:ascii="Arial" w:hAnsi="Arial" w:cs="Arial"/>
          <w:sz w:val="18"/>
          <w:szCs w:val="18"/>
        </w:rPr>
        <w:t>El saldo de $</w:t>
      </w:r>
      <w:r w:rsidR="00BC10E3">
        <w:rPr>
          <w:rFonts w:ascii="Arial" w:hAnsi="Arial" w:cs="Arial"/>
          <w:sz w:val="18"/>
          <w:szCs w:val="18"/>
        </w:rPr>
        <w:t>127</w:t>
      </w:r>
      <w:r w:rsidR="00513508">
        <w:rPr>
          <w:rFonts w:ascii="Arial" w:hAnsi="Arial" w:cs="Arial"/>
          <w:sz w:val="18"/>
          <w:szCs w:val="18"/>
        </w:rPr>
        <w:t>,</w:t>
      </w:r>
      <w:r w:rsidR="00BC10E3">
        <w:rPr>
          <w:rFonts w:ascii="Arial" w:hAnsi="Arial" w:cs="Arial"/>
          <w:sz w:val="18"/>
          <w:szCs w:val="18"/>
        </w:rPr>
        <w:t>762</w:t>
      </w:r>
      <w:r w:rsidR="00513508">
        <w:rPr>
          <w:rFonts w:ascii="Arial" w:hAnsi="Arial" w:cs="Arial"/>
          <w:sz w:val="18"/>
          <w:szCs w:val="18"/>
        </w:rPr>
        <w:t>,</w:t>
      </w:r>
      <w:r w:rsidR="00BC10E3">
        <w:rPr>
          <w:rFonts w:ascii="Arial" w:hAnsi="Arial" w:cs="Arial"/>
          <w:sz w:val="18"/>
          <w:szCs w:val="18"/>
        </w:rPr>
        <w:t>127</w:t>
      </w:r>
      <w:r w:rsidRPr="004D6FA0">
        <w:rPr>
          <w:rFonts w:ascii="Arial" w:hAnsi="Arial" w:cs="Arial"/>
          <w:sz w:val="18"/>
          <w:szCs w:val="18"/>
        </w:rPr>
        <w:t xml:space="preserve"> representan los ingresos obtenidos por los organismos públicos descentralizados del</w:t>
      </w:r>
      <w:r>
        <w:rPr>
          <w:rFonts w:ascii="Arial" w:hAnsi="Arial" w:cs="Arial"/>
          <w:sz w:val="18"/>
          <w:szCs w:val="18"/>
        </w:rPr>
        <w:t xml:space="preserve"> Estado, derivados de los</w:t>
      </w:r>
      <w:r w:rsidRPr="004C1616">
        <w:rPr>
          <w:rFonts w:ascii="Arial" w:hAnsi="Arial" w:cs="Arial"/>
          <w:sz w:val="18"/>
          <w:szCs w:val="18"/>
        </w:rPr>
        <w:t xml:space="preserve"> </w:t>
      </w:r>
      <w:r>
        <w:rPr>
          <w:rFonts w:ascii="Arial" w:hAnsi="Arial" w:cs="Arial"/>
          <w:sz w:val="18"/>
          <w:szCs w:val="18"/>
        </w:rPr>
        <w:t xml:space="preserve">servicios otorgados por los mismos, principalmente en materia de salud y educación, observándose un </w:t>
      </w:r>
      <w:r w:rsidR="00513508">
        <w:rPr>
          <w:rFonts w:ascii="Arial" w:hAnsi="Arial" w:cs="Arial"/>
          <w:sz w:val="18"/>
          <w:szCs w:val="18"/>
        </w:rPr>
        <w:t>de</w:t>
      </w:r>
      <w:r>
        <w:rPr>
          <w:rFonts w:ascii="Arial" w:hAnsi="Arial" w:cs="Arial"/>
          <w:sz w:val="18"/>
          <w:szCs w:val="18"/>
        </w:rPr>
        <w:t xml:space="preserve">cremento del </w:t>
      </w:r>
      <w:r w:rsidR="00513508">
        <w:rPr>
          <w:rFonts w:ascii="Arial" w:hAnsi="Arial" w:cs="Arial"/>
          <w:sz w:val="18"/>
          <w:szCs w:val="18"/>
        </w:rPr>
        <w:t>6</w:t>
      </w:r>
      <w:r>
        <w:rPr>
          <w:rFonts w:ascii="Arial" w:hAnsi="Arial" w:cs="Arial"/>
          <w:sz w:val="18"/>
          <w:szCs w:val="18"/>
        </w:rPr>
        <w:t>% en este rubro, respecto del ejercicio 202</w:t>
      </w:r>
      <w:r w:rsidR="00513508">
        <w:rPr>
          <w:rFonts w:ascii="Arial" w:hAnsi="Arial" w:cs="Arial"/>
          <w:sz w:val="18"/>
          <w:szCs w:val="18"/>
        </w:rPr>
        <w:t>4</w:t>
      </w:r>
      <w:r>
        <w:rPr>
          <w:rFonts w:ascii="Arial" w:hAnsi="Arial" w:cs="Arial"/>
          <w:sz w:val="18"/>
          <w:szCs w:val="18"/>
        </w:rPr>
        <w:t>.</w:t>
      </w:r>
    </w:p>
    <w:p w14:paraId="053E8410" w14:textId="77777777" w:rsidR="008C10B0" w:rsidRPr="0073056A" w:rsidRDefault="008C10B0" w:rsidP="008C10B0">
      <w:pPr>
        <w:tabs>
          <w:tab w:val="left" w:pos="284"/>
        </w:tabs>
        <w:spacing w:after="0"/>
        <w:ind w:left="284"/>
        <w:jc w:val="both"/>
        <w:rPr>
          <w:rFonts w:ascii="Arial" w:hAnsi="Arial" w:cs="Arial"/>
          <w:sz w:val="18"/>
          <w:szCs w:val="18"/>
        </w:rPr>
      </w:pPr>
    </w:p>
    <w:p w14:paraId="4A5D09C4" w14:textId="77777777" w:rsidR="008C10B0" w:rsidRPr="0073056A" w:rsidRDefault="008C10B0" w:rsidP="008C10B0">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14:paraId="6E4C87A1" w14:textId="335F63DA" w:rsidR="008C10B0" w:rsidRPr="009C379E" w:rsidRDefault="008C10B0" w:rsidP="008C10B0">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B37267">
        <w:rPr>
          <w:rFonts w:ascii="Arial" w:hAnsi="Arial" w:cs="Arial"/>
          <w:sz w:val="18"/>
          <w:szCs w:val="18"/>
        </w:rPr>
        <w:t>22</w:t>
      </w:r>
      <w:r>
        <w:rPr>
          <w:rFonts w:ascii="Arial" w:hAnsi="Arial" w:cs="Arial"/>
          <w:sz w:val="18"/>
          <w:szCs w:val="18"/>
        </w:rPr>
        <w:t>,</w:t>
      </w:r>
      <w:r w:rsidR="00B37267">
        <w:rPr>
          <w:rFonts w:ascii="Arial" w:hAnsi="Arial" w:cs="Arial"/>
          <w:sz w:val="18"/>
          <w:szCs w:val="18"/>
        </w:rPr>
        <w:t>028</w:t>
      </w:r>
      <w:r>
        <w:rPr>
          <w:rFonts w:ascii="Arial" w:hAnsi="Arial" w:cs="Arial"/>
          <w:sz w:val="18"/>
          <w:szCs w:val="18"/>
        </w:rPr>
        <w:t>,</w:t>
      </w:r>
      <w:r w:rsidR="00B37267">
        <w:rPr>
          <w:rFonts w:ascii="Arial" w:hAnsi="Arial" w:cs="Arial"/>
          <w:sz w:val="18"/>
          <w:szCs w:val="18"/>
        </w:rPr>
        <w:t>831</w:t>
      </w:r>
      <w:r>
        <w:rPr>
          <w:rFonts w:ascii="Arial" w:hAnsi="Arial" w:cs="Arial"/>
          <w:sz w:val="18"/>
          <w:szCs w:val="18"/>
        </w:rPr>
        <w:t>,</w:t>
      </w:r>
      <w:r w:rsidR="00B37267">
        <w:rPr>
          <w:rFonts w:ascii="Arial" w:hAnsi="Arial" w:cs="Arial"/>
          <w:sz w:val="18"/>
          <w:szCs w:val="18"/>
        </w:rPr>
        <w:t>348</w:t>
      </w:r>
      <w:r>
        <w:rPr>
          <w:rFonts w:ascii="Arial" w:hAnsi="Arial" w:cs="Arial"/>
          <w:sz w:val="18"/>
          <w:szCs w:val="18"/>
        </w:rPr>
        <w:t xml:space="preserve"> al mes de </w:t>
      </w:r>
      <w:r w:rsidR="00B37267">
        <w:rPr>
          <w:rFonts w:ascii="Arial" w:hAnsi="Arial" w:cs="Arial"/>
          <w:sz w:val="18"/>
          <w:szCs w:val="18"/>
        </w:rPr>
        <w:t>septiembre</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202</w:t>
      </w:r>
      <w:r w:rsidR="009B7AB2">
        <w:rPr>
          <w:rFonts w:ascii="Arial" w:hAnsi="Arial" w:cs="Arial"/>
          <w:sz w:val="18"/>
          <w:szCs w:val="18"/>
        </w:rPr>
        <w:t>5</w:t>
      </w:r>
      <w:r>
        <w:rPr>
          <w:rFonts w:ascii="Arial" w:hAnsi="Arial" w:cs="Arial"/>
          <w:sz w:val="18"/>
          <w:szCs w:val="18"/>
        </w:rPr>
        <w:t>, incluyendo los intereses y rendimientos generados por los fondos de aportación federal</w:t>
      </w:r>
      <w:r w:rsidRPr="009C379E">
        <w:rPr>
          <w:rFonts w:ascii="Arial" w:hAnsi="Arial" w:cs="Arial"/>
          <w:sz w:val="18"/>
          <w:szCs w:val="18"/>
        </w:rPr>
        <w:t>.</w:t>
      </w:r>
      <w:r>
        <w:rPr>
          <w:rFonts w:ascii="Arial" w:hAnsi="Arial" w:cs="Arial"/>
          <w:sz w:val="18"/>
          <w:szCs w:val="18"/>
        </w:rPr>
        <w:t xml:space="preserve"> Este rubro, respecto al ejercicio de 202</w:t>
      </w:r>
      <w:r w:rsidR="009B7AB2">
        <w:rPr>
          <w:rFonts w:ascii="Arial" w:hAnsi="Arial" w:cs="Arial"/>
          <w:sz w:val="18"/>
          <w:szCs w:val="18"/>
        </w:rPr>
        <w:t>4</w:t>
      </w:r>
      <w:r>
        <w:rPr>
          <w:rFonts w:ascii="Arial" w:hAnsi="Arial" w:cs="Arial"/>
          <w:sz w:val="18"/>
          <w:szCs w:val="18"/>
        </w:rPr>
        <w:t xml:space="preserve">, presenta un </w:t>
      </w:r>
      <w:r w:rsidR="009B7AB2">
        <w:rPr>
          <w:rFonts w:ascii="Arial" w:hAnsi="Arial" w:cs="Arial"/>
          <w:sz w:val="18"/>
          <w:szCs w:val="18"/>
        </w:rPr>
        <w:t>de</w:t>
      </w:r>
      <w:r>
        <w:rPr>
          <w:rFonts w:ascii="Arial" w:hAnsi="Arial" w:cs="Arial"/>
          <w:sz w:val="18"/>
          <w:szCs w:val="18"/>
        </w:rPr>
        <w:t xml:space="preserve">cremento del </w:t>
      </w:r>
      <w:r w:rsidR="00B37267">
        <w:rPr>
          <w:rFonts w:ascii="Arial" w:hAnsi="Arial" w:cs="Arial"/>
          <w:sz w:val="18"/>
          <w:szCs w:val="18"/>
        </w:rPr>
        <w:t>22</w:t>
      </w:r>
      <w:r>
        <w:rPr>
          <w:rFonts w:ascii="Arial" w:hAnsi="Arial" w:cs="Arial"/>
          <w:sz w:val="18"/>
          <w:szCs w:val="18"/>
        </w:rPr>
        <w:t>%.</w:t>
      </w:r>
    </w:p>
    <w:p w14:paraId="08FC2D1E" w14:textId="77777777" w:rsidR="008C10B0" w:rsidRPr="0073056A" w:rsidRDefault="008C10B0" w:rsidP="008C10B0">
      <w:pPr>
        <w:tabs>
          <w:tab w:val="left" w:pos="284"/>
        </w:tabs>
        <w:spacing w:after="0"/>
        <w:ind w:left="284"/>
        <w:jc w:val="both"/>
        <w:rPr>
          <w:rFonts w:ascii="Arial" w:hAnsi="Arial" w:cs="Arial"/>
          <w:sz w:val="18"/>
          <w:szCs w:val="18"/>
        </w:rPr>
      </w:pPr>
    </w:p>
    <w:p w14:paraId="4D5B94AA" w14:textId="77777777" w:rsidR="008C10B0" w:rsidRDefault="008C10B0" w:rsidP="008C10B0">
      <w:pPr>
        <w:tabs>
          <w:tab w:val="left" w:pos="284"/>
        </w:tabs>
        <w:spacing w:after="0"/>
        <w:ind w:left="284"/>
        <w:jc w:val="both"/>
        <w:rPr>
          <w:rFonts w:ascii="Arial" w:hAnsi="Arial" w:cs="Arial"/>
          <w:b/>
          <w:sz w:val="18"/>
          <w:szCs w:val="18"/>
        </w:rPr>
      </w:pPr>
    </w:p>
    <w:p w14:paraId="0C00F8D8" w14:textId="77777777" w:rsidR="009C5253" w:rsidRDefault="009C5253" w:rsidP="008C10B0">
      <w:pPr>
        <w:tabs>
          <w:tab w:val="left" w:pos="284"/>
        </w:tabs>
        <w:spacing w:after="0"/>
        <w:ind w:left="284"/>
        <w:jc w:val="both"/>
        <w:rPr>
          <w:rFonts w:ascii="Arial" w:hAnsi="Arial" w:cs="Arial"/>
          <w:b/>
          <w:sz w:val="18"/>
          <w:szCs w:val="18"/>
        </w:rPr>
      </w:pPr>
    </w:p>
    <w:p w14:paraId="1C572C45" w14:textId="77777777" w:rsidR="009C5253" w:rsidRDefault="009C5253" w:rsidP="008C10B0">
      <w:pPr>
        <w:tabs>
          <w:tab w:val="left" w:pos="284"/>
        </w:tabs>
        <w:spacing w:after="0"/>
        <w:ind w:left="284"/>
        <w:jc w:val="both"/>
        <w:rPr>
          <w:rFonts w:ascii="Arial" w:hAnsi="Arial" w:cs="Arial"/>
          <w:b/>
          <w:sz w:val="18"/>
          <w:szCs w:val="18"/>
        </w:rPr>
      </w:pPr>
    </w:p>
    <w:p w14:paraId="4D632383" w14:textId="77777777" w:rsidR="008C10B0" w:rsidRDefault="008C10B0" w:rsidP="008C10B0">
      <w:pPr>
        <w:tabs>
          <w:tab w:val="left" w:pos="284"/>
        </w:tabs>
        <w:spacing w:after="0"/>
        <w:ind w:left="284"/>
        <w:jc w:val="both"/>
        <w:rPr>
          <w:rFonts w:ascii="Arial" w:hAnsi="Arial" w:cs="Arial"/>
          <w:b/>
          <w:sz w:val="18"/>
          <w:szCs w:val="18"/>
        </w:rPr>
      </w:pPr>
      <w:r>
        <w:rPr>
          <w:rFonts w:ascii="Arial" w:hAnsi="Arial" w:cs="Arial"/>
          <w:b/>
          <w:sz w:val="18"/>
          <w:szCs w:val="18"/>
        </w:rPr>
        <w:t>Participaciones</w:t>
      </w:r>
    </w:p>
    <w:p w14:paraId="6F5625B0" w14:textId="03DFF9F8" w:rsidR="008C10B0" w:rsidRDefault="008C10B0" w:rsidP="008C10B0">
      <w:pPr>
        <w:tabs>
          <w:tab w:val="left" w:pos="284"/>
        </w:tabs>
        <w:spacing w:after="0"/>
        <w:ind w:left="284"/>
        <w:jc w:val="both"/>
        <w:rPr>
          <w:rFonts w:ascii="Arial" w:hAnsi="Arial" w:cs="Arial"/>
          <w:sz w:val="18"/>
          <w:szCs w:val="18"/>
        </w:rPr>
      </w:pPr>
      <w:r>
        <w:rPr>
          <w:rFonts w:ascii="Arial" w:hAnsi="Arial" w:cs="Arial"/>
          <w:sz w:val="18"/>
          <w:szCs w:val="18"/>
        </w:rPr>
        <w:t>El saldo por concepto de participaciones e incentivos económicos asciende a un monto de $</w:t>
      </w:r>
      <w:r w:rsidR="00B37267">
        <w:rPr>
          <w:rFonts w:ascii="Arial" w:hAnsi="Arial" w:cs="Arial"/>
          <w:sz w:val="18"/>
          <w:szCs w:val="18"/>
        </w:rPr>
        <w:t>10</w:t>
      </w:r>
      <w:r>
        <w:rPr>
          <w:rFonts w:ascii="Arial" w:hAnsi="Arial" w:cs="Arial"/>
          <w:sz w:val="18"/>
          <w:szCs w:val="18"/>
        </w:rPr>
        <w:t>,</w:t>
      </w:r>
      <w:r w:rsidR="009B7AB2">
        <w:rPr>
          <w:rFonts w:ascii="Arial" w:hAnsi="Arial" w:cs="Arial"/>
          <w:sz w:val="18"/>
          <w:szCs w:val="18"/>
        </w:rPr>
        <w:t>5</w:t>
      </w:r>
      <w:r w:rsidR="00B37267">
        <w:rPr>
          <w:rFonts w:ascii="Arial" w:hAnsi="Arial" w:cs="Arial"/>
          <w:sz w:val="18"/>
          <w:szCs w:val="18"/>
        </w:rPr>
        <w:t>44</w:t>
      </w:r>
      <w:r>
        <w:rPr>
          <w:rFonts w:ascii="Arial" w:hAnsi="Arial" w:cs="Arial"/>
          <w:sz w:val="18"/>
          <w:szCs w:val="18"/>
        </w:rPr>
        <w:t>,</w:t>
      </w:r>
      <w:r w:rsidR="00B37267">
        <w:rPr>
          <w:rFonts w:ascii="Arial" w:hAnsi="Arial" w:cs="Arial"/>
          <w:sz w:val="18"/>
          <w:szCs w:val="18"/>
        </w:rPr>
        <w:t>817</w:t>
      </w:r>
      <w:r>
        <w:rPr>
          <w:rFonts w:ascii="Arial" w:hAnsi="Arial" w:cs="Arial"/>
          <w:sz w:val="18"/>
          <w:szCs w:val="18"/>
        </w:rPr>
        <w:t>,</w:t>
      </w:r>
      <w:r w:rsidR="00B37267">
        <w:rPr>
          <w:rFonts w:ascii="Arial" w:hAnsi="Arial" w:cs="Arial"/>
          <w:sz w:val="18"/>
          <w:szCs w:val="18"/>
        </w:rPr>
        <w:t>366</w:t>
      </w:r>
      <w:r>
        <w:rPr>
          <w:rFonts w:ascii="Arial" w:hAnsi="Arial" w:cs="Arial"/>
          <w:sz w:val="18"/>
          <w:szCs w:val="18"/>
        </w:rPr>
        <w:t>, siendo el rubro más importante el Fondo General de Participaciones ya que representa el 7</w:t>
      </w:r>
      <w:r w:rsidR="00B37267">
        <w:rPr>
          <w:rFonts w:ascii="Arial" w:hAnsi="Arial" w:cs="Arial"/>
          <w:sz w:val="18"/>
          <w:szCs w:val="18"/>
        </w:rPr>
        <w:t>5</w:t>
      </w:r>
      <w:r>
        <w:rPr>
          <w:rFonts w:ascii="Arial" w:hAnsi="Arial" w:cs="Arial"/>
          <w:sz w:val="18"/>
          <w:szCs w:val="18"/>
        </w:rPr>
        <w:t>%, del total de ingresos.</w:t>
      </w:r>
    </w:p>
    <w:p w14:paraId="56F0CD9E" w14:textId="77777777" w:rsidR="008C10B0" w:rsidRDefault="008C10B0" w:rsidP="008C10B0">
      <w:pPr>
        <w:tabs>
          <w:tab w:val="left" w:pos="284"/>
        </w:tabs>
        <w:spacing w:after="0"/>
        <w:ind w:left="284"/>
        <w:jc w:val="both"/>
        <w:rPr>
          <w:rFonts w:ascii="Arial" w:hAnsi="Arial" w:cs="Arial"/>
          <w:b/>
          <w:sz w:val="18"/>
          <w:szCs w:val="18"/>
        </w:rPr>
      </w:pPr>
    </w:p>
    <w:p w14:paraId="6F0D09D3" w14:textId="77777777" w:rsidR="008C10B0" w:rsidRPr="0040746E" w:rsidRDefault="008C10B0" w:rsidP="008C10B0">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14:paraId="623EE547" w14:textId="28C512C7" w:rsidR="008C10B0" w:rsidRDefault="008C10B0" w:rsidP="008C10B0">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mes de </w:t>
      </w:r>
      <w:r w:rsidR="00B37267">
        <w:rPr>
          <w:rFonts w:ascii="Arial" w:hAnsi="Arial" w:cs="Arial"/>
          <w:sz w:val="18"/>
          <w:szCs w:val="18"/>
        </w:rPr>
        <w:t>septiembre</w:t>
      </w:r>
      <w:r>
        <w:rPr>
          <w:rFonts w:ascii="Arial" w:hAnsi="Arial" w:cs="Arial"/>
          <w:sz w:val="18"/>
          <w:szCs w:val="18"/>
        </w:rPr>
        <w:t xml:space="preserve"> de 202</w:t>
      </w:r>
      <w:r w:rsidR="009B7AB2">
        <w:rPr>
          <w:rFonts w:ascii="Arial" w:hAnsi="Arial" w:cs="Arial"/>
          <w:sz w:val="18"/>
          <w:szCs w:val="18"/>
        </w:rPr>
        <w:t>5</w:t>
      </w:r>
      <w:r>
        <w:rPr>
          <w:rFonts w:ascii="Arial" w:hAnsi="Arial" w:cs="Arial"/>
          <w:sz w:val="18"/>
          <w:szCs w:val="18"/>
        </w:rPr>
        <w:t xml:space="preserve"> sin incluir intereses reflejan los siguientes saldos:</w:t>
      </w:r>
    </w:p>
    <w:p w14:paraId="21EEB7ED" w14:textId="77777777" w:rsidR="008C10B0" w:rsidRDefault="008C10B0" w:rsidP="008C10B0">
      <w:pPr>
        <w:tabs>
          <w:tab w:val="left" w:pos="284"/>
        </w:tabs>
        <w:spacing w:after="0"/>
        <w:ind w:left="284"/>
        <w:jc w:val="both"/>
        <w:rPr>
          <w:rFonts w:ascii="Arial" w:hAnsi="Arial" w:cs="Arial"/>
          <w:sz w:val="18"/>
          <w:szCs w:val="18"/>
        </w:rPr>
      </w:pPr>
    </w:p>
    <w:tbl>
      <w:tblPr>
        <w:tblW w:w="9050" w:type="dxa"/>
        <w:jc w:val="center"/>
        <w:tblCellMar>
          <w:left w:w="70" w:type="dxa"/>
          <w:right w:w="70" w:type="dxa"/>
        </w:tblCellMar>
        <w:tblLook w:val="04A0" w:firstRow="1" w:lastRow="0" w:firstColumn="1" w:lastColumn="0" w:noHBand="0" w:noVBand="1"/>
      </w:tblPr>
      <w:tblGrid>
        <w:gridCol w:w="6102"/>
        <w:gridCol w:w="1577"/>
        <w:gridCol w:w="1371"/>
      </w:tblGrid>
      <w:tr w:rsidR="008C10B0" w:rsidRPr="000534C6" w14:paraId="679C60B6" w14:textId="77777777" w:rsidTr="000534C6">
        <w:trPr>
          <w:trHeight w:val="307"/>
          <w:jc w:val="center"/>
        </w:trPr>
        <w:tc>
          <w:tcPr>
            <w:tcW w:w="6102" w:type="dxa"/>
            <w:tcBorders>
              <w:top w:val="single" w:sz="8" w:space="0" w:color="auto"/>
              <w:left w:val="single" w:sz="8" w:space="0" w:color="auto"/>
              <w:bottom w:val="single" w:sz="8" w:space="0" w:color="auto"/>
              <w:right w:val="single" w:sz="8" w:space="0" w:color="auto"/>
            </w:tcBorders>
            <w:noWrap/>
            <w:vAlign w:val="center"/>
            <w:hideMark/>
          </w:tcPr>
          <w:p w14:paraId="5E12BE7C" w14:textId="77777777" w:rsidR="008C10B0" w:rsidRPr="000534C6" w:rsidRDefault="008C10B0" w:rsidP="008C10B0">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CONCEPTO</w:t>
            </w:r>
          </w:p>
        </w:tc>
        <w:tc>
          <w:tcPr>
            <w:tcW w:w="1577" w:type="dxa"/>
            <w:tcBorders>
              <w:top w:val="single" w:sz="8" w:space="0" w:color="auto"/>
              <w:left w:val="nil"/>
              <w:bottom w:val="single" w:sz="8" w:space="0" w:color="auto"/>
              <w:right w:val="single" w:sz="8" w:space="0" w:color="auto"/>
            </w:tcBorders>
            <w:noWrap/>
            <w:vAlign w:val="center"/>
            <w:hideMark/>
          </w:tcPr>
          <w:p w14:paraId="10228E84" w14:textId="77777777" w:rsidR="008C10B0" w:rsidRPr="000534C6" w:rsidRDefault="008C10B0" w:rsidP="008C10B0">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noWrap/>
            <w:vAlign w:val="center"/>
            <w:hideMark/>
          </w:tcPr>
          <w:p w14:paraId="18C20DE9" w14:textId="77777777" w:rsidR="008C10B0" w:rsidRPr="000534C6" w:rsidRDefault="008C10B0" w:rsidP="008C10B0">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PORCENTAJE</w:t>
            </w:r>
          </w:p>
        </w:tc>
      </w:tr>
      <w:tr w:rsidR="000534C6" w:rsidRPr="000534C6" w14:paraId="49D3771C" w14:textId="77777777" w:rsidTr="000534C6">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75370160" w14:textId="77777777" w:rsidR="000534C6" w:rsidRPr="000534C6" w:rsidRDefault="000534C6" w:rsidP="000534C6">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FONDO DE APORTACIONES PARA LA NOMINA EDUCATIVA</w:t>
            </w:r>
          </w:p>
        </w:tc>
        <w:tc>
          <w:tcPr>
            <w:tcW w:w="1577" w:type="dxa"/>
            <w:tcBorders>
              <w:top w:val="nil"/>
              <w:left w:val="nil"/>
              <w:bottom w:val="single" w:sz="8" w:space="0" w:color="auto"/>
              <w:right w:val="single" w:sz="8" w:space="0" w:color="auto"/>
            </w:tcBorders>
            <w:noWrap/>
            <w:vAlign w:val="center"/>
          </w:tcPr>
          <w:p w14:paraId="5A3CC938" w14:textId="0F078B80" w:rsidR="000534C6" w:rsidRPr="000534C6" w:rsidRDefault="000534C6" w:rsidP="000534C6">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w:t>
            </w:r>
            <w:r w:rsidR="00B37267">
              <w:rPr>
                <w:rFonts w:ascii="Arial" w:hAnsi="Arial" w:cs="Arial"/>
                <w:color w:val="000000"/>
                <w:sz w:val="18"/>
                <w:szCs w:val="18"/>
              </w:rPr>
              <w:t>4,483</w:t>
            </w:r>
            <w:r w:rsidRPr="000534C6">
              <w:rPr>
                <w:rFonts w:ascii="Arial" w:hAnsi="Arial" w:cs="Arial"/>
                <w:color w:val="000000"/>
                <w:sz w:val="18"/>
                <w:szCs w:val="18"/>
              </w:rPr>
              <w:t>,</w:t>
            </w:r>
            <w:r w:rsidR="00B37267">
              <w:rPr>
                <w:rFonts w:ascii="Arial" w:hAnsi="Arial" w:cs="Arial"/>
                <w:color w:val="000000"/>
                <w:sz w:val="18"/>
                <w:szCs w:val="18"/>
              </w:rPr>
              <w:t>240</w:t>
            </w:r>
            <w:r w:rsidRPr="000534C6">
              <w:rPr>
                <w:rFonts w:ascii="Arial" w:hAnsi="Arial" w:cs="Arial"/>
                <w:color w:val="000000"/>
                <w:sz w:val="18"/>
                <w:szCs w:val="18"/>
              </w:rPr>
              <w:t>,</w:t>
            </w:r>
            <w:r w:rsidR="00B37267">
              <w:rPr>
                <w:rFonts w:ascii="Arial" w:hAnsi="Arial" w:cs="Arial"/>
                <w:color w:val="000000"/>
                <w:sz w:val="18"/>
                <w:szCs w:val="18"/>
              </w:rPr>
              <w:t>44</w:t>
            </w:r>
            <w:r w:rsidRPr="000534C6">
              <w:rPr>
                <w:rFonts w:ascii="Arial" w:hAnsi="Arial" w:cs="Arial"/>
                <w:color w:val="000000"/>
                <w:sz w:val="18"/>
                <w:szCs w:val="18"/>
              </w:rPr>
              <w:t xml:space="preserve">3 </w:t>
            </w:r>
          </w:p>
        </w:tc>
        <w:tc>
          <w:tcPr>
            <w:tcW w:w="1371" w:type="dxa"/>
            <w:tcBorders>
              <w:top w:val="nil"/>
              <w:left w:val="nil"/>
              <w:bottom w:val="single" w:sz="8" w:space="0" w:color="auto"/>
              <w:right w:val="single" w:sz="8" w:space="0" w:color="auto"/>
            </w:tcBorders>
            <w:noWrap/>
            <w:vAlign w:val="center"/>
          </w:tcPr>
          <w:p w14:paraId="6900413C" w14:textId="1DC18A3B" w:rsidR="000534C6" w:rsidRPr="000534C6" w:rsidRDefault="00C92CFE" w:rsidP="000534C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48.40</w:t>
            </w:r>
          </w:p>
        </w:tc>
      </w:tr>
      <w:tr w:rsidR="000534C6" w:rsidRPr="000534C6" w14:paraId="027FDFF4" w14:textId="77777777" w:rsidTr="000534C6">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508D3E9E" w14:textId="77777777" w:rsidR="000534C6" w:rsidRPr="000534C6" w:rsidRDefault="000534C6" w:rsidP="000534C6">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FONDO PARA LOS SERVICIOS DE SALUD</w:t>
            </w:r>
          </w:p>
        </w:tc>
        <w:tc>
          <w:tcPr>
            <w:tcW w:w="1577" w:type="dxa"/>
            <w:tcBorders>
              <w:top w:val="nil"/>
              <w:left w:val="nil"/>
              <w:bottom w:val="single" w:sz="8" w:space="0" w:color="auto"/>
              <w:right w:val="single" w:sz="8" w:space="0" w:color="auto"/>
            </w:tcBorders>
            <w:noWrap/>
            <w:vAlign w:val="center"/>
          </w:tcPr>
          <w:p w14:paraId="55A81E3F" w14:textId="1D5D4792" w:rsidR="000534C6" w:rsidRPr="000534C6" w:rsidRDefault="000534C6" w:rsidP="000534C6">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w:t>
            </w:r>
            <w:r w:rsidR="00B37267" w:rsidRPr="00B37267">
              <w:rPr>
                <w:rFonts w:ascii="Arial" w:hAnsi="Arial" w:cs="Arial"/>
                <w:color w:val="000000"/>
                <w:sz w:val="18"/>
                <w:szCs w:val="18"/>
              </w:rPr>
              <w:t>931</w:t>
            </w:r>
            <w:r w:rsidR="00B37267">
              <w:rPr>
                <w:rFonts w:ascii="Arial" w:hAnsi="Arial" w:cs="Arial"/>
                <w:color w:val="000000"/>
                <w:sz w:val="18"/>
                <w:szCs w:val="18"/>
              </w:rPr>
              <w:t>,</w:t>
            </w:r>
            <w:r w:rsidR="00B37267" w:rsidRPr="00B37267">
              <w:rPr>
                <w:rFonts w:ascii="Arial" w:hAnsi="Arial" w:cs="Arial"/>
                <w:color w:val="000000"/>
                <w:sz w:val="18"/>
                <w:szCs w:val="18"/>
              </w:rPr>
              <w:t>679</w:t>
            </w:r>
            <w:r w:rsidR="00B37267">
              <w:rPr>
                <w:rFonts w:ascii="Arial" w:hAnsi="Arial" w:cs="Arial"/>
                <w:color w:val="000000"/>
                <w:sz w:val="18"/>
                <w:szCs w:val="18"/>
              </w:rPr>
              <w:t>,</w:t>
            </w:r>
            <w:r w:rsidR="00B37267" w:rsidRPr="00B37267">
              <w:rPr>
                <w:rFonts w:ascii="Arial" w:hAnsi="Arial" w:cs="Arial"/>
                <w:color w:val="000000"/>
                <w:sz w:val="18"/>
                <w:szCs w:val="18"/>
              </w:rPr>
              <w:t>736</w:t>
            </w:r>
            <w:r w:rsidRPr="000534C6">
              <w:rPr>
                <w:rFonts w:ascii="Arial" w:hAnsi="Arial" w:cs="Arial"/>
                <w:color w:val="000000"/>
                <w:sz w:val="18"/>
                <w:szCs w:val="18"/>
              </w:rPr>
              <w:t xml:space="preserve"> </w:t>
            </w:r>
          </w:p>
        </w:tc>
        <w:tc>
          <w:tcPr>
            <w:tcW w:w="1371" w:type="dxa"/>
            <w:tcBorders>
              <w:top w:val="nil"/>
              <w:left w:val="nil"/>
              <w:bottom w:val="single" w:sz="8" w:space="0" w:color="auto"/>
              <w:right w:val="single" w:sz="8" w:space="0" w:color="auto"/>
            </w:tcBorders>
            <w:noWrap/>
            <w:vAlign w:val="center"/>
          </w:tcPr>
          <w:p w14:paraId="2D9D317A" w14:textId="0A352B86" w:rsidR="000534C6" w:rsidRPr="000534C6" w:rsidRDefault="000534C6" w:rsidP="000534C6">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w:t>
            </w:r>
            <w:r w:rsidR="00C92CFE">
              <w:rPr>
                <w:rFonts w:ascii="Arial" w:hAnsi="Arial" w:cs="Arial"/>
                <w:color w:val="000000"/>
                <w:sz w:val="18"/>
                <w:szCs w:val="18"/>
              </w:rPr>
              <w:t>0.06</w:t>
            </w:r>
          </w:p>
        </w:tc>
      </w:tr>
      <w:tr w:rsidR="000534C6" w:rsidRPr="000534C6" w14:paraId="378A9E6F" w14:textId="77777777" w:rsidTr="000534C6">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7EBF43D1" w14:textId="2A53E745" w:rsidR="000534C6" w:rsidRPr="000534C6" w:rsidRDefault="000534C6" w:rsidP="000534C6">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FAIS FONDO DE APORTACIONES PARA LA INFRAESTRUCTURA SOCIAL</w:t>
            </w:r>
          </w:p>
        </w:tc>
        <w:tc>
          <w:tcPr>
            <w:tcW w:w="1577" w:type="dxa"/>
            <w:tcBorders>
              <w:top w:val="nil"/>
              <w:left w:val="nil"/>
              <w:bottom w:val="single" w:sz="8" w:space="0" w:color="auto"/>
              <w:right w:val="single" w:sz="8" w:space="0" w:color="auto"/>
            </w:tcBorders>
            <w:noWrap/>
            <w:vAlign w:val="center"/>
          </w:tcPr>
          <w:p w14:paraId="0A99A144" w14:textId="44F196B4" w:rsidR="000534C6" w:rsidRPr="000534C6" w:rsidRDefault="000534C6" w:rsidP="000534C6">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w:t>
            </w:r>
            <w:r w:rsidR="00B37267" w:rsidRPr="00B37267">
              <w:rPr>
                <w:rFonts w:ascii="Arial" w:hAnsi="Arial" w:cs="Arial"/>
                <w:color w:val="000000"/>
                <w:sz w:val="18"/>
                <w:szCs w:val="18"/>
              </w:rPr>
              <w:t>1</w:t>
            </w:r>
            <w:r w:rsidR="00B37267">
              <w:rPr>
                <w:rFonts w:ascii="Arial" w:hAnsi="Arial" w:cs="Arial"/>
                <w:color w:val="000000"/>
                <w:sz w:val="18"/>
                <w:szCs w:val="18"/>
              </w:rPr>
              <w:t>,</w:t>
            </w:r>
            <w:r w:rsidR="00B37267" w:rsidRPr="00B37267">
              <w:rPr>
                <w:rFonts w:ascii="Arial" w:hAnsi="Arial" w:cs="Arial"/>
                <w:color w:val="000000"/>
                <w:sz w:val="18"/>
                <w:szCs w:val="18"/>
              </w:rPr>
              <w:t>180</w:t>
            </w:r>
            <w:r w:rsidR="00B37267">
              <w:rPr>
                <w:rFonts w:ascii="Arial" w:hAnsi="Arial" w:cs="Arial"/>
                <w:color w:val="000000"/>
                <w:sz w:val="18"/>
                <w:szCs w:val="18"/>
              </w:rPr>
              <w:t>,</w:t>
            </w:r>
            <w:r w:rsidR="00B37267" w:rsidRPr="00B37267">
              <w:rPr>
                <w:rFonts w:ascii="Arial" w:hAnsi="Arial" w:cs="Arial"/>
                <w:color w:val="000000"/>
                <w:sz w:val="18"/>
                <w:szCs w:val="18"/>
              </w:rPr>
              <w:t>637</w:t>
            </w:r>
            <w:r w:rsidR="00B37267">
              <w:rPr>
                <w:rFonts w:ascii="Arial" w:hAnsi="Arial" w:cs="Arial"/>
                <w:color w:val="000000"/>
                <w:sz w:val="18"/>
                <w:szCs w:val="18"/>
              </w:rPr>
              <w:t>,</w:t>
            </w:r>
            <w:r w:rsidR="00B37267" w:rsidRPr="00B37267">
              <w:rPr>
                <w:rFonts w:ascii="Arial" w:hAnsi="Arial" w:cs="Arial"/>
                <w:color w:val="000000"/>
                <w:sz w:val="18"/>
                <w:szCs w:val="18"/>
              </w:rPr>
              <w:t>570</w:t>
            </w:r>
            <w:r w:rsidRPr="000534C6">
              <w:rPr>
                <w:rFonts w:ascii="Arial" w:hAnsi="Arial" w:cs="Arial"/>
                <w:color w:val="000000"/>
                <w:sz w:val="18"/>
                <w:szCs w:val="18"/>
              </w:rPr>
              <w:t xml:space="preserve"> </w:t>
            </w:r>
          </w:p>
        </w:tc>
        <w:tc>
          <w:tcPr>
            <w:tcW w:w="1371" w:type="dxa"/>
            <w:tcBorders>
              <w:top w:val="nil"/>
              <w:left w:val="nil"/>
              <w:bottom w:val="single" w:sz="8" w:space="0" w:color="auto"/>
              <w:right w:val="single" w:sz="8" w:space="0" w:color="auto"/>
            </w:tcBorders>
            <w:noWrap/>
            <w:vAlign w:val="center"/>
          </w:tcPr>
          <w:p w14:paraId="42CC6D51" w14:textId="78C273E4" w:rsidR="000534C6" w:rsidRPr="000534C6" w:rsidRDefault="000534C6" w:rsidP="000534C6">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w:t>
            </w:r>
            <w:r w:rsidR="00C92CFE">
              <w:rPr>
                <w:rFonts w:ascii="Arial" w:hAnsi="Arial" w:cs="Arial"/>
                <w:color w:val="000000"/>
                <w:sz w:val="18"/>
                <w:szCs w:val="18"/>
              </w:rPr>
              <w:t>2.75</w:t>
            </w:r>
          </w:p>
        </w:tc>
      </w:tr>
      <w:tr w:rsidR="000534C6" w:rsidRPr="000534C6" w14:paraId="242E7D28" w14:textId="77777777" w:rsidTr="000534C6">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48C57EC2" w14:textId="77777777" w:rsidR="000534C6" w:rsidRPr="000534C6" w:rsidRDefault="000534C6" w:rsidP="000534C6">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FORTAMUN</w:t>
            </w:r>
          </w:p>
        </w:tc>
        <w:tc>
          <w:tcPr>
            <w:tcW w:w="1577" w:type="dxa"/>
            <w:tcBorders>
              <w:top w:val="nil"/>
              <w:left w:val="nil"/>
              <w:bottom w:val="single" w:sz="8" w:space="0" w:color="auto"/>
              <w:right w:val="single" w:sz="8" w:space="0" w:color="auto"/>
            </w:tcBorders>
            <w:noWrap/>
            <w:vAlign w:val="center"/>
          </w:tcPr>
          <w:p w14:paraId="5B9CC5B8" w14:textId="5A59D941" w:rsidR="000534C6" w:rsidRPr="000534C6" w:rsidRDefault="000534C6" w:rsidP="000534C6">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w:t>
            </w:r>
            <w:r w:rsidR="00B37267" w:rsidRPr="00B37267">
              <w:rPr>
                <w:rFonts w:ascii="Arial" w:hAnsi="Arial" w:cs="Arial"/>
                <w:color w:val="000000"/>
                <w:sz w:val="18"/>
                <w:szCs w:val="18"/>
              </w:rPr>
              <w:t>1</w:t>
            </w:r>
            <w:r w:rsidR="00B37267">
              <w:rPr>
                <w:rFonts w:ascii="Arial" w:hAnsi="Arial" w:cs="Arial"/>
                <w:color w:val="000000"/>
                <w:sz w:val="18"/>
                <w:szCs w:val="18"/>
              </w:rPr>
              <w:t>,</w:t>
            </w:r>
            <w:r w:rsidR="00B37267" w:rsidRPr="00B37267">
              <w:rPr>
                <w:rFonts w:ascii="Arial" w:hAnsi="Arial" w:cs="Arial"/>
                <w:color w:val="000000"/>
                <w:sz w:val="18"/>
                <w:szCs w:val="18"/>
              </w:rPr>
              <w:t>043</w:t>
            </w:r>
            <w:r w:rsidR="00B37267">
              <w:rPr>
                <w:rFonts w:ascii="Arial" w:hAnsi="Arial" w:cs="Arial"/>
                <w:color w:val="000000"/>
                <w:sz w:val="18"/>
                <w:szCs w:val="18"/>
              </w:rPr>
              <w:t>,</w:t>
            </w:r>
            <w:r w:rsidR="00B37267" w:rsidRPr="00B37267">
              <w:rPr>
                <w:rFonts w:ascii="Arial" w:hAnsi="Arial" w:cs="Arial"/>
                <w:color w:val="000000"/>
                <w:sz w:val="18"/>
                <w:szCs w:val="18"/>
              </w:rPr>
              <w:t>999</w:t>
            </w:r>
            <w:r w:rsidR="00B37267">
              <w:rPr>
                <w:rFonts w:ascii="Arial" w:hAnsi="Arial" w:cs="Arial"/>
                <w:color w:val="000000"/>
                <w:sz w:val="18"/>
                <w:szCs w:val="18"/>
              </w:rPr>
              <w:t>,</w:t>
            </w:r>
            <w:r w:rsidR="00B37267" w:rsidRPr="00B37267">
              <w:rPr>
                <w:rFonts w:ascii="Arial" w:hAnsi="Arial" w:cs="Arial"/>
                <w:color w:val="000000"/>
                <w:sz w:val="18"/>
                <w:szCs w:val="18"/>
              </w:rPr>
              <w:t>766</w:t>
            </w:r>
            <w:r w:rsidRPr="000534C6">
              <w:rPr>
                <w:rFonts w:ascii="Arial" w:hAnsi="Arial" w:cs="Arial"/>
                <w:color w:val="000000"/>
                <w:sz w:val="18"/>
                <w:szCs w:val="18"/>
              </w:rPr>
              <w:t xml:space="preserve"> </w:t>
            </w:r>
          </w:p>
        </w:tc>
        <w:tc>
          <w:tcPr>
            <w:tcW w:w="1371" w:type="dxa"/>
            <w:tcBorders>
              <w:top w:val="nil"/>
              <w:left w:val="nil"/>
              <w:bottom w:val="single" w:sz="8" w:space="0" w:color="auto"/>
              <w:right w:val="single" w:sz="8" w:space="0" w:color="auto"/>
            </w:tcBorders>
            <w:noWrap/>
            <w:vAlign w:val="center"/>
          </w:tcPr>
          <w:p w14:paraId="285A1D9B" w14:textId="1217B4AE" w:rsidR="000534C6" w:rsidRPr="000534C6" w:rsidRDefault="000534C6" w:rsidP="000534C6">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w:t>
            </w:r>
            <w:r w:rsidR="00681C53">
              <w:rPr>
                <w:rFonts w:ascii="Arial" w:hAnsi="Arial" w:cs="Arial"/>
                <w:color w:val="000000"/>
                <w:sz w:val="18"/>
                <w:szCs w:val="18"/>
              </w:rPr>
              <w:t>1</w:t>
            </w:r>
            <w:r>
              <w:rPr>
                <w:rFonts w:ascii="Arial" w:hAnsi="Arial" w:cs="Arial"/>
                <w:color w:val="000000"/>
                <w:sz w:val="18"/>
                <w:szCs w:val="18"/>
              </w:rPr>
              <w:t>.</w:t>
            </w:r>
            <w:r w:rsidR="00681C53">
              <w:rPr>
                <w:rFonts w:ascii="Arial" w:hAnsi="Arial" w:cs="Arial"/>
                <w:color w:val="000000"/>
                <w:sz w:val="18"/>
                <w:szCs w:val="18"/>
              </w:rPr>
              <w:t>27</w:t>
            </w:r>
          </w:p>
        </w:tc>
      </w:tr>
      <w:tr w:rsidR="000534C6" w:rsidRPr="000534C6" w14:paraId="2515AA29" w14:textId="77777777" w:rsidTr="000534C6">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268423B3" w14:textId="1A16B074" w:rsidR="000534C6" w:rsidRPr="000534C6" w:rsidRDefault="000534C6" w:rsidP="000534C6">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 xml:space="preserve">FAETA </w:t>
            </w:r>
          </w:p>
        </w:tc>
        <w:tc>
          <w:tcPr>
            <w:tcW w:w="1577" w:type="dxa"/>
            <w:tcBorders>
              <w:top w:val="nil"/>
              <w:left w:val="nil"/>
              <w:bottom w:val="single" w:sz="8" w:space="0" w:color="auto"/>
              <w:right w:val="single" w:sz="8" w:space="0" w:color="auto"/>
            </w:tcBorders>
            <w:noWrap/>
            <w:vAlign w:val="center"/>
          </w:tcPr>
          <w:p w14:paraId="365A5E66" w14:textId="56B72E91" w:rsidR="000534C6" w:rsidRPr="000534C6" w:rsidRDefault="000534C6" w:rsidP="000534C6">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w:t>
            </w:r>
            <w:r w:rsidR="00B37267" w:rsidRPr="00B37267">
              <w:rPr>
                <w:rFonts w:ascii="Arial" w:hAnsi="Arial" w:cs="Arial"/>
                <w:color w:val="000000"/>
                <w:sz w:val="18"/>
                <w:szCs w:val="18"/>
              </w:rPr>
              <w:t>92</w:t>
            </w:r>
            <w:r w:rsidR="00B37267">
              <w:rPr>
                <w:rFonts w:ascii="Arial" w:hAnsi="Arial" w:cs="Arial"/>
                <w:color w:val="000000"/>
                <w:sz w:val="18"/>
                <w:szCs w:val="18"/>
              </w:rPr>
              <w:t>,</w:t>
            </w:r>
            <w:r w:rsidR="00B37267" w:rsidRPr="00B37267">
              <w:rPr>
                <w:rFonts w:ascii="Arial" w:hAnsi="Arial" w:cs="Arial"/>
                <w:color w:val="000000"/>
                <w:sz w:val="18"/>
                <w:szCs w:val="18"/>
              </w:rPr>
              <w:t>717</w:t>
            </w:r>
            <w:r w:rsidR="00B37267">
              <w:rPr>
                <w:rFonts w:ascii="Arial" w:hAnsi="Arial" w:cs="Arial"/>
                <w:color w:val="000000"/>
                <w:sz w:val="18"/>
                <w:szCs w:val="18"/>
              </w:rPr>
              <w:t>,</w:t>
            </w:r>
            <w:r w:rsidR="00B37267" w:rsidRPr="00B37267">
              <w:rPr>
                <w:rFonts w:ascii="Arial" w:hAnsi="Arial" w:cs="Arial"/>
                <w:color w:val="000000"/>
                <w:sz w:val="18"/>
                <w:szCs w:val="18"/>
              </w:rPr>
              <w:t>713</w:t>
            </w:r>
            <w:r w:rsidRPr="000534C6">
              <w:rPr>
                <w:rFonts w:ascii="Arial" w:hAnsi="Arial" w:cs="Arial"/>
                <w:color w:val="000000"/>
                <w:sz w:val="18"/>
                <w:szCs w:val="18"/>
              </w:rPr>
              <w:t xml:space="preserve"> </w:t>
            </w:r>
          </w:p>
        </w:tc>
        <w:tc>
          <w:tcPr>
            <w:tcW w:w="1371" w:type="dxa"/>
            <w:tcBorders>
              <w:top w:val="nil"/>
              <w:left w:val="nil"/>
              <w:bottom w:val="single" w:sz="8" w:space="0" w:color="auto"/>
              <w:right w:val="single" w:sz="8" w:space="0" w:color="auto"/>
            </w:tcBorders>
            <w:noWrap/>
            <w:vAlign w:val="center"/>
          </w:tcPr>
          <w:p w14:paraId="43E436C3" w14:textId="63E85F9E" w:rsidR="000534C6" w:rsidRPr="000534C6" w:rsidRDefault="000534C6" w:rsidP="000534C6">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w:t>
            </w:r>
            <w:r w:rsidR="00681C53">
              <w:rPr>
                <w:rFonts w:ascii="Arial" w:hAnsi="Arial" w:cs="Arial"/>
                <w:color w:val="000000"/>
                <w:sz w:val="18"/>
                <w:szCs w:val="18"/>
              </w:rPr>
              <w:t>00</w:t>
            </w:r>
          </w:p>
        </w:tc>
      </w:tr>
      <w:tr w:rsidR="000534C6" w:rsidRPr="000534C6" w14:paraId="1D365DA7" w14:textId="77777777" w:rsidTr="000534C6">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4B2DC022" w14:textId="74A3B53F" w:rsidR="000534C6" w:rsidRPr="000534C6" w:rsidRDefault="000534C6" w:rsidP="000534C6">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FONDO PARA LA SEGURIDAD PUBLICA</w:t>
            </w:r>
          </w:p>
        </w:tc>
        <w:tc>
          <w:tcPr>
            <w:tcW w:w="1577" w:type="dxa"/>
            <w:tcBorders>
              <w:top w:val="nil"/>
              <w:left w:val="nil"/>
              <w:bottom w:val="single" w:sz="8" w:space="0" w:color="auto"/>
              <w:right w:val="single" w:sz="8" w:space="0" w:color="auto"/>
            </w:tcBorders>
            <w:noWrap/>
            <w:vAlign w:val="center"/>
          </w:tcPr>
          <w:p w14:paraId="3530BF01" w14:textId="21FC5FC1" w:rsidR="000534C6" w:rsidRPr="000534C6" w:rsidRDefault="000534C6" w:rsidP="000534C6">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w:t>
            </w:r>
            <w:r w:rsidR="00B37267" w:rsidRPr="00B37267">
              <w:rPr>
                <w:rFonts w:ascii="Arial" w:hAnsi="Arial" w:cs="Arial"/>
                <w:color w:val="000000"/>
                <w:sz w:val="18"/>
                <w:szCs w:val="18"/>
              </w:rPr>
              <w:t>182</w:t>
            </w:r>
            <w:r w:rsidR="00B37267">
              <w:rPr>
                <w:rFonts w:ascii="Arial" w:hAnsi="Arial" w:cs="Arial"/>
                <w:color w:val="000000"/>
                <w:sz w:val="18"/>
                <w:szCs w:val="18"/>
              </w:rPr>
              <w:t>,</w:t>
            </w:r>
            <w:r w:rsidR="00B37267" w:rsidRPr="00B37267">
              <w:rPr>
                <w:rFonts w:ascii="Arial" w:hAnsi="Arial" w:cs="Arial"/>
                <w:color w:val="000000"/>
                <w:sz w:val="18"/>
                <w:szCs w:val="18"/>
              </w:rPr>
              <w:t>693</w:t>
            </w:r>
            <w:r w:rsidR="00B37267">
              <w:rPr>
                <w:rFonts w:ascii="Arial" w:hAnsi="Arial" w:cs="Arial"/>
                <w:color w:val="000000"/>
                <w:sz w:val="18"/>
                <w:szCs w:val="18"/>
              </w:rPr>
              <w:t>,</w:t>
            </w:r>
            <w:r w:rsidR="00B37267" w:rsidRPr="00B37267">
              <w:rPr>
                <w:rFonts w:ascii="Arial" w:hAnsi="Arial" w:cs="Arial"/>
                <w:color w:val="000000"/>
                <w:sz w:val="18"/>
                <w:szCs w:val="18"/>
              </w:rPr>
              <w:t>781</w:t>
            </w:r>
            <w:r w:rsidRPr="000534C6">
              <w:rPr>
                <w:rFonts w:ascii="Arial" w:hAnsi="Arial" w:cs="Arial"/>
                <w:color w:val="000000"/>
                <w:sz w:val="18"/>
                <w:szCs w:val="18"/>
              </w:rPr>
              <w:t xml:space="preserve"> </w:t>
            </w:r>
          </w:p>
        </w:tc>
        <w:tc>
          <w:tcPr>
            <w:tcW w:w="1371" w:type="dxa"/>
            <w:tcBorders>
              <w:top w:val="nil"/>
              <w:left w:val="nil"/>
              <w:bottom w:val="single" w:sz="8" w:space="0" w:color="auto"/>
              <w:right w:val="single" w:sz="8" w:space="0" w:color="auto"/>
            </w:tcBorders>
            <w:noWrap/>
            <w:vAlign w:val="center"/>
          </w:tcPr>
          <w:p w14:paraId="2A1C5D5C" w14:textId="0428154A" w:rsidR="000534C6" w:rsidRPr="000534C6" w:rsidRDefault="00681C53" w:rsidP="000534C6">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w:t>
            </w:r>
            <w:r w:rsidR="000534C6">
              <w:rPr>
                <w:rFonts w:ascii="Arial" w:hAnsi="Arial" w:cs="Arial"/>
                <w:color w:val="000000"/>
                <w:sz w:val="18"/>
                <w:szCs w:val="18"/>
              </w:rPr>
              <w:t>.</w:t>
            </w:r>
            <w:r>
              <w:rPr>
                <w:rFonts w:ascii="Arial" w:hAnsi="Arial" w:cs="Arial"/>
                <w:color w:val="000000"/>
                <w:sz w:val="18"/>
                <w:szCs w:val="18"/>
              </w:rPr>
              <w:t>97</w:t>
            </w:r>
          </w:p>
        </w:tc>
      </w:tr>
      <w:tr w:rsidR="000534C6" w:rsidRPr="000534C6" w14:paraId="6A2557FB" w14:textId="77777777" w:rsidTr="000534C6">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52E46C46" w14:textId="737BFFEB" w:rsidR="000534C6" w:rsidRPr="000534C6" w:rsidRDefault="000534C6" w:rsidP="000534C6">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FAM</w:t>
            </w:r>
          </w:p>
        </w:tc>
        <w:tc>
          <w:tcPr>
            <w:tcW w:w="1577" w:type="dxa"/>
            <w:tcBorders>
              <w:top w:val="nil"/>
              <w:left w:val="nil"/>
              <w:bottom w:val="single" w:sz="8" w:space="0" w:color="auto"/>
              <w:right w:val="single" w:sz="8" w:space="0" w:color="auto"/>
            </w:tcBorders>
            <w:noWrap/>
            <w:vAlign w:val="center"/>
          </w:tcPr>
          <w:p w14:paraId="201AACAC" w14:textId="46F8DC44" w:rsidR="000534C6" w:rsidRPr="000534C6" w:rsidRDefault="000534C6" w:rsidP="000534C6">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w:t>
            </w:r>
            <w:r w:rsidR="00B37267" w:rsidRPr="00B37267">
              <w:rPr>
                <w:rFonts w:ascii="Arial" w:hAnsi="Arial" w:cs="Arial"/>
                <w:color w:val="000000"/>
                <w:sz w:val="18"/>
                <w:szCs w:val="18"/>
              </w:rPr>
              <w:t>586</w:t>
            </w:r>
            <w:r w:rsidR="00B37267">
              <w:rPr>
                <w:rFonts w:ascii="Arial" w:hAnsi="Arial" w:cs="Arial"/>
                <w:color w:val="000000"/>
                <w:sz w:val="18"/>
                <w:szCs w:val="18"/>
              </w:rPr>
              <w:t>,</w:t>
            </w:r>
            <w:r w:rsidR="00B37267" w:rsidRPr="00B37267">
              <w:rPr>
                <w:rFonts w:ascii="Arial" w:hAnsi="Arial" w:cs="Arial"/>
                <w:color w:val="000000"/>
                <w:sz w:val="18"/>
                <w:szCs w:val="18"/>
              </w:rPr>
              <w:t>145</w:t>
            </w:r>
            <w:r w:rsidR="00B37267">
              <w:rPr>
                <w:rFonts w:ascii="Arial" w:hAnsi="Arial" w:cs="Arial"/>
                <w:color w:val="000000"/>
                <w:sz w:val="18"/>
                <w:szCs w:val="18"/>
              </w:rPr>
              <w:t>,</w:t>
            </w:r>
            <w:r w:rsidR="00B37267" w:rsidRPr="00B37267">
              <w:rPr>
                <w:rFonts w:ascii="Arial" w:hAnsi="Arial" w:cs="Arial"/>
                <w:color w:val="000000"/>
                <w:sz w:val="18"/>
                <w:szCs w:val="18"/>
              </w:rPr>
              <w:t>841</w:t>
            </w:r>
            <w:r w:rsidRPr="000534C6">
              <w:rPr>
                <w:rFonts w:ascii="Arial" w:hAnsi="Arial" w:cs="Arial"/>
                <w:color w:val="000000"/>
                <w:sz w:val="18"/>
                <w:szCs w:val="18"/>
              </w:rPr>
              <w:t xml:space="preserve"> </w:t>
            </w:r>
          </w:p>
        </w:tc>
        <w:tc>
          <w:tcPr>
            <w:tcW w:w="1371" w:type="dxa"/>
            <w:tcBorders>
              <w:top w:val="nil"/>
              <w:left w:val="nil"/>
              <w:bottom w:val="single" w:sz="8" w:space="0" w:color="auto"/>
              <w:right w:val="single" w:sz="8" w:space="0" w:color="auto"/>
            </w:tcBorders>
            <w:noWrap/>
            <w:vAlign w:val="center"/>
          </w:tcPr>
          <w:p w14:paraId="3A5F03E6" w14:textId="1B32DB1E" w:rsidR="000534C6" w:rsidRPr="000534C6" w:rsidRDefault="00681C53" w:rsidP="000534C6">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6</w:t>
            </w:r>
            <w:r w:rsidR="000534C6">
              <w:rPr>
                <w:rFonts w:ascii="Arial" w:hAnsi="Arial" w:cs="Arial"/>
                <w:color w:val="000000"/>
                <w:sz w:val="18"/>
                <w:szCs w:val="18"/>
              </w:rPr>
              <w:t>.</w:t>
            </w:r>
            <w:r>
              <w:rPr>
                <w:rFonts w:ascii="Arial" w:hAnsi="Arial" w:cs="Arial"/>
                <w:color w:val="000000"/>
                <w:sz w:val="18"/>
                <w:szCs w:val="18"/>
              </w:rPr>
              <w:t>33</w:t>
            </w:r>
          </w:p>
        </w:tc>
      </w:tr>
      <w:tr w:rsidR="000534C6" w:rsidRPr="000534C6" w14:paraId="6166EE58" w14:textId="77777777" w:rsidTr="000534C6">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35AD38B0" w14:textId="77777777" w:rsidR="000534C6" w:rsidRPr="000534C6" w:rsidRDefault="000534C6" w:rsidP="000534C6">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FONDO PARA EL FORTALECIMIENTO DE ENTIDADES FEDERATIVAS</w:t>
            </w:r>
          </w:p>
        </w:tc>
        <w:tc>
          <w:tcPr>
            <w:tcW w:w="1577" w:type="dxa"/>
            <w:tcBorders>
              <w:top w:val="nil"/>
              <w:left w:val="nil"/>
              <w:bottom w:val="single" w:sz="8" w:space="0" w:color="auto"/>
              <w:right w:val="single" w:sz="8" w:space="0" w:color="auto"/>
            </w:tcBorders>
            <w:noWrap/>
            <w:vAlign w:val="center"/>
          </w:tcPr>
          <w:p w14:paraId="51647F1E" w14:textId="091DD0C8" w:rsidR="000534C6" w:rsidRPr="000534C6" w:rsidRDefault="000534C6" w:rsidP="000534C6">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w:t>
            </w:r>
            <w:r w:rsidR="00B37267" w:rsidRPr="00B37267">
              <w:rPr>
                <w:rFonts w:ascii="Arial" w:hAnsi="Arial" w:cs="Arial"/>
                <w:color w:val="000000"/>
                <w:sz w:val="18"/>
                <w:szCs w:val="18"/>
              </w:rPr>
              <w:t>761</w:t>
            </w:r>
            <w:r w:rsidR="00B37267">
              <w:rPr>
                <w:rFonts w:ascii="Arial" w:hAnsi="Arial" w:cs="Arial"/>
                <w:color w:val="000000"/>
                <w:sz w:val="18"/>
                <w:szCs w:val="18"/>
              </w:rPr>
              <w:t>,</w:t>
            </w:r>
            <w:r w:rsidR="00B37267" w:rsidRPr="00B37267">
              <w:rPr>
                <w:rFonts w:ascii="Arial" w:hAnsi="Arial" w:cs="Arial"/>
                <w:color w:val="000000"/>
                <w:sz w:val="18"/>
                <w:szCs w:val="18"/>
              </w:rPr>
              <w:t>261</w:t>
            </w:r>
            <w:r w:rsidR="00B37267">
              <w:rPr>
                <w:rFonts w:ascii="Arial" w:hAnsi="Arial" w:cs="Arial"/>
                <w:color w:val="000000"/>
                <w:sz w:val="18"/>
                <w:szCs w:val="18"/>
              </w:rPr>
              <w:t>,</w:t>
            </w:r>
            <w:r w:rsidR="00B37267" w:rsidRPr="00B37267">
              <w:rPr>
                <w:rFonts w:ascii="Arial" w:hAnsi="Arial" w:cs="Arial"/>
                <w:color w:val="000000"/>
                <w:sz w:val="18"/>
                <w:szCs w:val="18"/>
              </w:rPr>
              <w:t>103</w:t>
            </w:r>
            <w:r w:rsidRPr="000534C6">
              <w:rPr>
                <w:rFonts w:ascii="Arial" w:hAnsi="Arial" w:cs="Arial"/>
                <w:color w:val="000000"/>
                <w:sz w:val="18"/>
                <w:szCs w:val="18"/>
              </w:rPr>
              <w:t xml:space="preserve"> </w:t>
            </w:r>
          </w:p>
        </w:tc>
        <w:tc>
          <w:tcPr>
            <w:tcW w:w="1371" w:type="dxa"/>
            <w:tcBorders>
              <w:top w:val="nil"/>
              <w:left w:val="nil"/>
              <w:bottom w:val="single" w:sz="8" w:space="0" w:color="auto"/>
              <w:right w:val="single" w:sz="8" w:space="0" w:color="auto"/>
            </w:tcBorders>
            <w:noWrap/>
            <w:vAlign w:val="center"/>
          </w:tcPr>
          <w:p w14:paraId="176D912B" w14:textId="606151EC" w:rsidR="000534C6" w:rsidRPr="000534C6" w:rsidRDefault="00681C53" w:rsidP="000534C6">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8</w:t>
            </w:r>
            <w:r w:rsidR="000534C6">
              <w:rPr>
                <w:rFonts w:ascii="Arial" w:hAnsi="Arial" w:cs="Arial"/>
                <w:color w:val="000000"/>
                <w:sz w:val="18"/>
                <w:szCs w:val="18"/>
              </w:rPr>
              <w:t>.2</w:t>
            </w:r>
            <w:r>
              <w:rPr>
                <w:rFonts w:ascii="Arial" w:hAnsi="Arial" w:cs="Arial"/>
                <w:color w:val="000000"/>
                <w:sz w:val="18"/>
                <w:szCs w:val="18"/>
              </w:rPr>
              <w:t>2</w:t>
            </w:r>
          </w:p>
        </w:tc>
      </w:tr>
      <w:tr w:rsidR="008C10B0" w:rsidRPr="000534C6" w14:paraId="6E4B0E38" w14:textId="77777777" w:rsidTr="000534C6">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44D28A00" w14:textId="77777777" w:rsidR="008C10B0" w:rsidRPr="000534C6" w:rsidRDefault="008C10B0" w:rsidP="008C10B0">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TOTAL</w:t>
            </w:r>
          </w:p>
        </w:tc>
        <w:tc>
          <w:tcPr>
            <w:tcW w:w="1577" w:type="dxa"/>
            <w:tcBorders>
              <w:top w:val="nil"/>
              <w:left w:val="nil"/>
              <w:bottom w:val="single" w:sz="8" w:space="0" w:color="auto"/>
              <w:right w:val="single" w:sz="8" w:space="0" w:color="auto"/>
            </w:tcBorders>
            <w:noWrap/>
            <w:vAlign w:val="bottom"/>
            <w:hideMark/>
          </w:tcPr>
          <w:p w14:paraId="5C04E848" w14:textId="683F1BB3" w:rsidR="008C10B0" w:rsidRPr="000534C6" w:rsidRDefault="00681C53" w:rsidP="008C10B0">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9</w:t>
            </w:r>
            <w:r w:rsidR="000534C6">
              <w:rPr>
                <w:rFonts w:ascii="Arial" w:eastAsia="Times New Roman" w:hAnsi="Arial" w:cs="Arial"/>
                <w:b/>
                <w:bCs/>
                <w:color w:val="000000"/>
                <w:sz w:val="18"/>
                <w:szCs w:val="18"/>
                <w:lang w:eastAsia="es-MX"/>
              </w:rPr>
              <w:t>,</w:t>
            </w:r>
            <w:r>
              <w:rPr>
                <w:rFonts w:ascii="Arial" w:eastAsia="Times New Roman" w:hAnsi="Arial" w:cs="Arial"/>
                <w:b/>
                <w:bCs/>
                <w:color w:val="000000"/>
                <w:sz w:val="18"/>
                <w:szCs w:val="18"/>
                <w:lang w:eastAsia="es-MX"/>
              </w:rPr>
              <w:t>262</w:t>
            </w:r>
            <w:r w:rsidR="000534C6">
              <w:rPr>
                <w:rFonts w:ascii="Arial" w:eastAsia="Times New Roman" w:hAnsi="Arial" w:cs="Arial"/>
                <w:b/>
                <w:bCs/>
                <w:color w:val="000000"/>
                <w:sz w:val="18"/>
                <w:szCs w:val="18"/>
                <w:lang w:eastAsia="es-MX"/>
              </w:rPr>
              <w:t>,</w:t>
            </w:r>
            <w:r>
              <w:rPr>
                <w:rFonts w:ascii="Arial" w:eastAsia="Times New Roman" w:hAnsi="Arial" w:cs="Arial"/>
                <w:b/>
                <w:bCs/>
                <w:color w:val="000000"/>
                <w:sz w:val="18"/>
                <w:szCs w:val="18"/>
                <w:lang w:eastAsia="es-MX"/>
              </w:rPr>
              <w:t>375</w:t>
            </w:r>
            <w:r w:rsidR="000534C6">
              <w:rPr>
                <w:rFonts w:ascii="Arial" w:eastAsia="Times New Roman" w:hAnsi="Arial" w:cs="Arial"/>
                <w:b/>
                <w:bCs/>
                <w:color w:val="000000"/>
                <w:sz w:val="18"/>
                <w:szCs w:val="18"/>
                <w:lang w:eastAsia="es-MX"/>
              </w:rPr>
              <w:t>,</w:t>
            </w:r>
            <w:r>
              <w:rPr>
                <w:rFonts w:ascii="Arial" w:eastAsia="Times New Roman" w:hAnsi="Arial" w:cs="Arial"/>
                <w:b/>
                <w:bCs/>
                <w:color w:val="000000"/>
                <w:sz w:val="18"/>
                <w:szCs w:val="18"/>
                <w:lang w:eastAsia="es-MX"/>
              </w:rPr>
              <w:t>953</w:t>
            </w:r>
          </w:p>
        </w:tc>
        <w:tc>
          <w:tcPr>
            <w:tcW w:w="1371" w:type="dxa"/>
            <w:tcBorders>
              <w:top w:val="nil"/>
              <w:left w:val="nil"/>
              <w:bottom w:val="single" w:sz="8" w:space="0" w:color="auto"/>
              <w:right w:val="single" w:sz="8" w:space="0" w:color="auto"/>
            </w:tcBorders>
            <w:noWrap/>
            <w:vAlign w:val="center"/>
            <w:hideMark/>
          </w:tcPr>
          <w:p w14:paraId="434FFA88" w14:textId="77777777" w:rsidR="008C10B0" w:rsidRPr="000534C6" w:rsidRDefault="008C10B0" w:rsidP="008C10B0">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100.00</w:t>
            </w:r>
          </w:p>
        </w:tc>
      </w:tr>
    </w:tbl>
    <w:p w14:paraId="506D59E0" w14:textId="77777777" w:rsidR="008C10B0" w:rsidRDefault="008C10B0" w:rsidP="008C10B0">
      <w:pPr>
        <w:tabs>
          <w:tab w:val="left" w:pos="284"/>
        </w:tabs>
        <w:spacing w:after="0"/>
        <w:ind w:left="284"/>
        <w:jc w:val="both"/>
        <w:rPr>
          <w:rFonts w:ascii="Arial" w:hAnsi="Arial" w:cs="Arial"/>
          <w:sz w:val="18"/>
          <w:szCs w:val="18"/>
        </w:rPr>
      </w:pPr>
    </w:p>
    <w:p w14:paraId="0E1DD6FF"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14:paraId="29CDA857" w14:textId="16474FB2" w:rsidR="008C10B0" w:rsidRDefault="008C10B0" w:rsidP="008C10B0">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6001E3">
        <w:rPr>
          <w:rFonts w:ascii="Arial" w:hAnsi="Arial" w:cs="Arial"/>
          <w:sz w:val="18"/>
          <w:szCs w:val="18"/>
        </w:rPr>
        <w:t>septiembre</w:t>
      </w:r>
      <w:r>
        <w:rPr>
          <w:rFonts w:ascii="Arial" w:hAnsi="Arial" w:cs="Arial"/>
          <w:sz w:val="18"/>
          <w:szCs w:val="18"/>
        </w:rPr>
        <w:t xml:space="preserve"> del ejercicio 202</w:t>
      </w:r>
      <w:r w:rsidR="000534C6">
        <w:rPr>
          <w:rFonts w:ascii="Arial" w:hAnsi="Arial" w:cs="Arial"/>
          <w:sz w:val="18"/>
          <w:szCs w:val="18"/>
        </w:rPr>
        <w:t>5</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6001E3">
        <w:rPr>
          <w:rFonts w:ascii="Arial" w:hAnsi="Arial" w:cs="Arial"/>
          <w:sz w:val="18"/>
          <w:szCs w:val="18"/>
        </w:rPr>
        <w:t>2</w:t>
      </w:r>
      <w:r w:rsidR="00732D19">
        <w:rPr>
          <w:rFonts w:ascii="Arial" w:hAnsi="Arial" w:cs="Arial"/>
          <w:sz w:val="18"/>
          <w:szCs w:val="18"/>
        </w:rPr>
        <w:t>,</w:t>
      </w:r>
      <w:r w:rsidR="006001E3">
        <w:rPr>
          <w:rFonts w:ascii="Arial" w:hAnsi="Arial" w:cs="Arial"/>
          <w:sz w:val="18"/>
          <w:szCs w:val="18"/>
        </w:rPr>
        <w:t>196</w:t>
      </w:r>
      <w:r w:rsidR="00732D19">
        <w:rPr>
          <w:rFonts w:ascii="Arial" w:hAnsi="Arial" w:cs="Arial"/>
          <w:sz w:val="18"/>
          <w:szCs w:val="18"/>
        </w:rPr>
        <w:t>,</w:t>
      </w:r>
      <w:r w:rsidR="006001E3">
        <w:rPr>
          <w:rFonts w:ascii="Arial" w:hAnsi="Arial" w:cs="Arial"/>
          <w:sz w:val="18"/>
          <w:szCs w:val="18"/>
        </w:rPr>
        <w:t>844</w:t>
      </w:r>
      <w:r w:rsidR="00732D19">
        <w:rPr>
          <w:rFonts w:ascii="Arial" w:hAnsi="Arial" w:cs="Arial"/>
          <w:sz w:val="18"/>
          <w:szCs w:val="18"/>
        </w:rPr>
        <w:t>,</w:t>
      </w:r>
      <w:r w:rsidR="006001E3">
        <w:rPr>
          <w:rFonts w:ascii="Arial" w:hAnsi="Arial" w:cs="Arial"/>
          <w:sz w:val="18"/>
          <w:szCs w:val="18"/>
        </w:rPr>
        <w:t>413</w:t>
      </w:r>
      <w:r>
        <w:rPr>
          <w:rFonts w:ascii="Arial" w:hAnsi="Arial" w:cs="Arial"/>
          <w:sz w:val="18"/>
          <w:szCs w:val="18"/>
        </w:rPr>
        <w:t>, incluyendo los intereses y rendimientos generados por los Convenios suscritos</w:t>
      </w:r>
      <w:r>
        <w:rPr>
          <w:rFonts w:ascii="Arial" w:hAnsi="Arial" w:cs="Arial"/>
          <w:sz w:val="18"/>
          <w:szCs w:val="20"/>
        </w:rPr>
        <w:t>.</w:t>
      </w:r>
    </w:p>
    <w:p w14:paraId="51BFD1D1" w14:textId="77777777" w:rsidR="008C10B0" w:rsidRDefault="008C10B0" w:rsidP="008C10B0">
      <w:pPr>
        <w:pStyle w:val="ROMANOS"/>
        <w:tabs>
          <w:tab w:val="clear" w:pos="720"/>
          <w:tab w:val="left" w:pos="284"/>
        </w:tabs>
        <w:spacing w:after="0" w:line="276" w:lineRule="auto"/>
        <w:ind w:left="284" w:firstLine="0"/>
        <w:rPr>
          <w:b/>
          <w:lang w:val="es-MX"/>
        </w:rPr>
      </w:pPr>
    </w:p>
    <w:p w14:paraId="46E13251" w14:textId="77777777" w:rsidR="008C10B0" w:rsidRDefault="008C10B0" w:rsidP="008C10B0">
      <w:pPr>
        <w:pStyle w:val="ROMANOS"/>
        <w:tabs>
          <w:tab w:val="clear" w:pos="720"/>
          <w:tab w:val="left" w:pos="284"/>
        </w:tabs>
        <w:spacing w:after="0" w:line="276" w:lineRule="auto"/>
        <w:ind w:left="284" w:firstLine="0"/>
        <w:rPr>
          <w:b/>
          <w:lang w:val="es-MX"/>
        </w:rPr>
      </w:pPr>
      <w:r w:rsidRPr="0073056A">
        <w:rPr>
          <w:b/>
          <w:lang w:val="es-MX"/>
        </w:rPr>
        <w:t>Gastos y Otras Pérdidas:</w:t>
      </w:r>
    </w:p>
    <w:p w14:paraId="48541CC6" w14:textId="77777777" w:rsidR="008C10B0" w:rsidRDefault="008C10B0" w:rsidP="008C10B0">
      <w:pPr>
        <w:tabs>
          <w:tab w:val="left" w:pos="284"/>
        </w:tabs>
        <w:spacing w:after="0"/>
        <w:ind w:left="284"/>
        <w:jc w:val="both"/>
        <w:rPr>
          <w:rFonts w:ascii="Arial" w:hAnsi="Arial" w:cs="Arial"/>
          <w:b/>
          <w:sz w:val="18"/>
          <w:szCs w:val="18"/>
        </w:rPr>
      </w:pPr>
    </w:p>
    <w:p w14:paraId="5DE0BF7B"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14:paraId="121EAC93" w14:textId="5A033160" w:rsidR="008C10B0" w:rsidRDefault="008C10B0" w:rsidP="008C10B0">
      <w:pPr>
        <w:tabs>
          <w:tab w:val="left" w:pos="284"/>
        </w:tabs>
        <w:spacing w:after="0"/>
        <w:ind w:left="284"/>
        <w:jc w:val="both"/>
        <w:rPr>
          <w:rFonts w:ascii="Arial" w:hAnsi="Arial" w:cs="Arial"/>
          <w:sz w:val="18"/>
          <w:szCs w:val="18"/>
        </w:rPr>
      </w:pPr>
      <w:r>
        <w:rPr>
          <w:rFonts w:ascii="Arial" w:hAnsi="Arial" w:cs="Arial"/>
          <w:sz w:val="18"/>
          <w:szCs w:val="18"/>
        </w:rPr>
        <w:t xml:space="preserve">Al cierre del </w:t>
      </w:r>
      <w:r w:rsidR="006001E3">
        <w:rPr>
          <w:rFonts w:ascii="Arial" w:hAnsi="Arial" w:cs="Arial"/>
          <w:sz w:val="18"/>
          <w:szCs w:val="18"/>
        </w:rPr>
        <w:t>terce</w:t>
      </w:r>
      <w:r w:rsidR="00732D19">
        <w:rPr>
          <w:rFonts w:ascii="Arial" w:hAnsi="Arial" w:cs="Arial"/>
          <w:sz w:val="18"/>
          <w:szCs w:val="18"/>
        </w:rPr>
        <w:t>r</w:t>
      </w:r>
      <w:r>
        <w:rPr>
          <w:rFonts w:ascii="Arial" w:hAnsi="Arial" w:cs="Arial"/>
          <w:sz w:val="18"/>
          <w:szCs w:val="18"/>
        </w:rPr>
        <w:t xml:space="preserve"> trimestre del ejercicio 202</w:t>
      </w:r>
      <w:r w:rsidR="00732D19">
        <w:rPr>
          <w:rFonts w:ascii="Arial" w:hAnsi="Arial" w:cs="Arial"/>
          <w:sz w:val="18"/>
          <w:szCs w:val="18"/>
        </w:rPr>
        <w:t>5</w:t>
      </w:r>
      <w:r w:rsidRPr="0073056A">
        <w:rPr>
          <w:rFonts w:ascii="Arial" w:hAnsi="Arial" w:cs="Arial"/>
          <w:sz w:val="18"/>
          <w:szCs w:val="18"/>
        </w:rPr>
        <w:t xml:space="preserve"> se</w:t>
      </w:r>
      <w:r>
        <w:rPr>
          <w:rFonts w:ascii="Arial" w:hAnsi="Arial" w:cs="Arial"/>
          <w:sz w:val="18"/>
          <w:szCs w:val="18"/>
        </w:rPr>
        <w:t xml:space="preserve"> aplicó una</w:t>
      </w:r>
      <w:r w:rsidRPr="0073056A">
        <w:rPr>
          <w:rFonts w:ascii="Arial" w:hAnsi="Arial" w:cs="Arial"/>
          <w:sz w:val="18"/>
          <w:szCs w:val="18"/>
        </w:rPr>
        <w:t xml:space="preserve"> política de </w:t>
      </w:r>
      <w:r>
        <w:rPr>
          <w:rFonts w:ascii="Arial" w:hAnsi="Arial" w:cs="Arial"/>
          <w:sz w:val="18"/>
          <w:szCs w:val="18"/>
        </w:rPr>
        <w:t xml:space="preserve">racionalidad, </w:t>
      </w:r>
      <w:r w:rsidRPr="0073056A">
        <w:rPr>
          <w:rFonts w:ascii="Arial" w:hAnsi="Arial" w:cs="Arial"/>
          <w:sz w:val="18"/>
          <w:szCs w:val="18"/>
        </w:rPr>
        <w:t>austeridad y de disciplina presupuestal</w:t>
      </w:r>
      <w:r>
        <w:rPr>
          <w:rFonts w:ascii="Arial" w:hAnsi="Arial" w:cs="Arial"/>
          <w:sz w:val="18"/>
          <w:szCs w:val="18"/>
        </w:rPr>
        <w:t xml:space="preserve">, lo que ha redundado en ahorros significativos al disminuir la duplicidad de funciones y reducir las estructuras administrativas, teniéndose al mes de </w:t>
      </w:r>
      <w:r w:rsidR="006001E3">
        <w:rPr>
          <w:rFonts w:ascii="Arial" w:hAnsi="Arial" w:cs="Arial"/>
          <w:sz w:val="18"/>
          <w:szCs w:val="18"/>
        </w:rPr>
        <w:t>septiembre</w:t>
      </w:r>
      <w:r>
        <w:rPr>
          <w:rFonts w:ascii="Arial" w:hAnsi="Arial" w:cs="Arial"/>
          <w:sz w:val="18"/>
          <w:szCs w:val="18"/>
        </w:rPr>
        <w:t xml:space="preserve"> por este concepto un monto de $</w:t>
      </w:r>
      <w:r w:rsidR="006001E3">
        <w:rPr>
          <w:rFonts w:ascii="Arial" w:hAnsi="Arial" w:cs="Arial"/>
          <w:sz w:val="18"/>
          <w:szCs w:val="18"/>
        </w:rPr>
        <w:t>2,539</w:t>
      </w:r>
      <w:r w:rsidR="00732D19">
        <w:rPr>
          <w:rFonts w:ascii="Arial" w:hAnsi="Arial" w:cs="Arial"/>
          <w:sz w:val="18"/>
          <w:szCs w:val="18"/>
        </w:rPr>
        <w:t>,</w:t>
      </w:r>
      <w:r w:rsidR="006001E3">
        <w:rPr>
          <w:rFonts w:ascii="Arial" w:hAnsi="Arial" w:cs="Arial"/>
          <w:sz w:val="18"/>
          <w:szCs w:val="18"/>
        </w:rPr>
        <w:t>890</w:t>
      </w:r>
      <w:r w:rsidR="00732D19">
        <w:rPr>
          <w:rFonts w:ascii="Arial" w:hAnsi="Arial" w:cs="Arial"/>
          <w:sz w:val="18"/>
          <w:szCs w:val="18"/>
        </w:rPr>
        <w:t>,</w:t>
      </w:r>
      <w:r w:rsidR="006001E3">
        <w:rPr>
          <w:rFonts w:ascii="Arial" w:hAnsi="Arial" w:cs="Arial"/>
          <w:sz w:val="18"/>
          <w:szCs w:val="18"/>
        </w:rPr>
        <w:t>152</w:t>
      </w:r>
      <w:r>
        <w:rPr>
          <w:rFonts w:ascii="Arial" w:hAnsi="Arial" w:cs="Arial"/>
          <w:sz w:val="18"/>
          <w:szCs w:val="18"/>
        </w:rPr>
        <w:t xml:space="preserve">; en apego a lo estipulado en la Ley de Disciplina Financiera de las Entidades Federativas y los municipios. Lo que representa un </w:t>
      </w:r>
      <w:r w:rsidR="00732D19">
        <w:rPr>
          <w:rFonts w:ascii="Arial" w:hAnsi="Arial" w:cs="Arial"/>
          <w:sz w:val="18"/>
          <w:szCs w:val="18"/>
        </w:rPr>
        <w:t>de</w:t>
      </w:r>
      <w:r>
        <w:rPr>
          <w:rFonts w:ascii="Arial" w:hAnsi="Arial" w:cs="Arial"/>
          <w:sz w:val="18"/>
          <w:szCs w:val="18"/>
        </w:rPr>
        <w:t xml:space="preserve">cremento del </w:t>
      </w:r>
      <w:r w:rsidR="00D761A5">
        <w:rPr>
          <w:rFonts w:ascii="Arial" w:hAnsi="Arial" w:cs="Arial"/>
          <w:sz w:val="18"/>
          <w:szCs w:val="18"/>
        </w:rPr>
        <w:t>25</w:t>
      </w:r>
      <w:r>
        <w:rPr>
          <w:rFonts w:ascii="Arial" w:hAnsi="Arial" w:cs="Arial"/>
          <w:sz w:val="18"/>
          <w:szCs w:val="18"/>
        </w:rPr>
        <w:t>% respecto al ejercicio 202</w:t>
      </w:r>
      <w:r w:rsidR="00732D19">
        <w:rPr>
          <w:rFonts w:ascii="Arial" w:hAnsi="Arial" w:cs="Arial"/>
          <w:sz w:val="18"/>
          <w:szCs w:val="18"/>
        </w:rPr>
        <w:t>4</w:t>
      </w:r>
      <w:r>
        <w:rPr>
          <w:rFonts w:ascii="Arial" w:hAnsi="Arial" w:cs="Arial"/>
          <w:sz w:val="18"/>
          <w:szCs w:val="18"/>
        </w:rPr>
        <w:t>.</w:t>
      </w:r>
    </w:p>
    <w:p w14:paraId="3DCF438B" w14:textId="77777777" w:rsidR="008C10B0" w:rsidRDefault="008C10B0" w:rsidP="008C10B0">
      <w:pPr>
        <w:tabs>
          <w:tab w:val="left" w:pos="284"/>
        </w:tabs>
        <w:spacing w:after="0"/>
        <w:ind w:left="284"/>
        <w:jc w:val="both"/>
        <w:rPr>
          <w:rFonts w:ascii="Arial" w:hAnsi="Arial" w:cs="Arial"/>
          <w:b/>
          <w:sz w:val="18"/>
          <w:szCs w:val="18"/>
        </w:rPr>
      </w:pPr>
    </w:p>
    <w:p w14:paraId="535EF18E"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14:paraId="7C65A80D" w14:textId="484D2B0B" w:rsidR="008C10B0"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w:t>
      </w:r>
      <w:r w:rsidR="00D761A5">
        <w:rPr>
          <w:rFonts w:ascii="Arial" w:hAnsi="Arial" w:cs="Arial"/>
          <w:sz w:val="18"/>
          <w:szCs w:val="18"/>
        </w:rPr>
        <w:t>168</w:t>
      </w:r>
      <w:r>
        <w:rPr>
          <w:rFonts w:ascii="Arial" w:hAnsi="Arial" w:cs="Arial"/>
          <w:sz w:val="18"/>
          <w:szCs w:val="18"/>
        </w:rPr>
        <w:t>,</w:t>
      </w:r>
      <w:r w:rsidR="00D761A5">
        <w:rPr>
          <w:rFonts w:ascii="Arial" w:hAnsi="Arial" w:cs="Arial"/>
          <w:sz w:val="18"/>
          <w:szCs w:val="18"/>
        </w:rPr>
        <w:t>202</w:t>
      </w:r>
      <w:r>
        <w:rPr>
          <w:rFonts w:ascii="Arial" w:hAnsi="Arial" w:cs="Arial"/>
          <w:sz w:val="18"/>
          <w:szCs w:val="18"/>
        </w:rPr>
        <w:t>,</w:t>
      </w:r>
      <w:r w:rsidR="00D761A5">
        <w:rPr>
          <w:rFonts w:ascii="Arial" w:hAnsi="Arial" w:cs="Arial"/>
          <w:sz w:val="18"/>
          <w:szCs w:val="18"/>
        </w:rPr>
        <w:t>788</w:t>
      </w:r>
      <w:r w:rsidRPr="0073056A">
        <w:rPr>
          <w:rFonts w:ascii="Arial" w:hAnsi="Arial" w:cs="Arial"/>
          <w:sz w:val="18"/>
          <w:szCs w:val="18"/>
        </w:rPr>
        <w:t>.</w:t>
      </w:r>
    </w:p>
    <w:p w14:paraId="62ED0843" w14:textId="77777777" w:rsidR="008C10B0" w:rsidRDefault="008C10B0" w:rsidP="008C10B0">
      <w:pPr>
        <w:tabs>
          <w:tab w:val="left" w:pos="284"/>
        </w:tabs>
        <w:spacing w:after="0"/>
        <w:ind w:left="284"/>
        <w:jc w:val="both"/>
        <w:rPr>
          <w:rFonts w:ascii="Arial" w:hAnsi="Arial" w:cs="Arial"/>
          <w:b/>
          <w:sz w:val="18"/>
          <w:szCs w:val="18"/>
        </w:rPr>
      </w:pPr>
    </w:p>
    <w:p w14:paraId="3A62D0D3"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14:paraId="7BF20A5C" w14:textId="2B84E1A7" w:rsidR="008C10B0" w:rsidRPr="0073056A"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D761A5">
        <w:rPr>
          <w:rFonts w:ascii="Arial" w:hAnsi="Arial" w:cs="Arial"/>
          <w:sz w:val="18"/>
          <w:szCs w:val="18"/>
        </w:rPr>
        <w:t>septiembre</w:t>
      </w:r>
      <w:r>
        <w:rPr>
          <w:rFonts w:ascii="Arial" w:hAnsi="Arial" w:cs="Arial"/>
          <w:sz w:val="18"/>
          <w:szCs w:val="18"/>
        </w:rPr>
        <w:t xml:space="preserve"> de 202</w:t>
      </w:r>
      <w:r w:rsidR="00732D19">
        <w:rPr>
          <w:rFonts w:ascii="Arial" w:hAnsi="Arial" w:cs="Arial"/>
          <w:sz w:val="18"/>
          <w:szCs w:val="18"/>
        </w:rPr>
        <w:t>5</w:t>
      </w:r>
      <w:r>
        <w:rPr>
          <w:rFonts w:ascii="Arial" w:hAnsi="Arial" w:cs="Arial"/>
          <w:sz w:val="18"/>
          <w:szCs w:val="18"/>
        </w:rPr>
        <w:t xml:space="preserve"> es de $</w:t>
      </w:r>
      <w:r w:rsidR="00D761A5">
        <w:rPr>
          <w:rFonts w:ascii="Arial" w:hAnsi="Arial" w:cs="Arial"/>
          <w:sz w:val="18"/>
          <w:szCs w:val="18"/>
        </w:rPr>
        <w:t>265,106</w:t>
      </w:r>
      <w:r>
        <w:rPr>
          <w:rFonts w:ascii="Arial" w:hAnsi="Arial" w:cs="Arial"/>
          <w:sz w:val="18"/>
          <w:szCs w:val="18"/>
        </w:rPr>
        <w:t>,</w:t>
      </w:r>
      <w:r w:rsidR="00D761A5">
        <w:rPr>
          <w:rFonts w:ascii="Arial" w:hAnsi="Arial" w:cs="Arial"/>
          <w:sz w:val="18"/>
          <w:szCs w:val="18"/>
        </w:rPr>
        <w:t>939</w:t>
      </w:r>
      <w:r w:rsidRPr="0073056A">
        <w:rPr>
          <w:rFonts w:ascii="Arial" w:hAnsi="Arial" w:cs="Arial"/>
          <w:sz w:val="18"/>
          <w:szCs w:val="18"/>
        </w:rPr>
        <w:t>.</w:t>
      </w:r>
      <w:r>
        <w:rPr>
          <w:rFonts w:ascii="Arial" w:hAnsi="Arial" w:cs="Arial"/>
          <w:sz w:val="18"/>
          <w:szCs w:val="18"/>
        </w:rPr>
        <w:t xml:space="preserve"> Lo que representa un </w:t>
      </w:r>
      <w:r w:rsidR="00732D19">
        <w:rPr>
          <w:rFonts w:ascii="Arial" w:hAnsi="Arial" w:cs="Arial"/>
          <w:sz w:val="18"/>
          <w:szCs w:val="18"/>
        </w:rPr>
        <w:t>de</w:t>
      </w:r>
      <w:r>
        <w:rPr>
          <w:rFonts w:ascii="Arial" w:hAnsi="Arial" w:cs="Arial"/>
          <w:sz w:val="18"/>
          <w:szCs w:val="18"/>
        </w:rPr>
        <w:t xml:space="preserve">cremento del </w:t>
      </w:r>
      <w:r w:rsidR="00D761A5">
        <w:rPr>
          <w:rFonts w:ascii="Arial" w:hAnsi="Arial" w:cs="Arial"/>
          <w:sz w:val="18"/>
          <w:szCs w:val="18"/>
        </w:rPr>
        <w:t>57</w:t>
      </w:r>
      <w:r>
        <w:rPr>
          <w:rFonts w:ascii="Arial" w:hAnsi="Arial" w:cs="Arial"/>
          <w:sz w:val="18"/>
          <w:szCs w:val="18"/>
        </w:rPr>
        <w:t>% respecto al ejercicio 202</w:t>
      </w:r>
      <w:r w:rsidR="00732D19">
        <w:rPr>
          <w:rFonts w:ascii="Arial" w:hAnsi="Arial" w:cs="Arial"/>
          <w:sz w:val="18"/>
          <w:szCs w:val="18"/>
        </w:rPr>
        <w:t>4</w:t>
      </w:r>
      <w:r>
        <w:rPr>
          <w:rFonts w:ascii="Arial" w:hAnsi="Arial" w:cs="Arial"/>
          <w:sz w:val="18"/>
          <w:szCs w:val="18"/>
        </w:rPr>
        <w:t>.</w:t>
      </w:r>
    </w:p>
    <w:p w14:paraId="0F847837" w14:textId="77777777" w:rsidR="008C10B0" w:rsidRDefault="008C10B0" w:rsidP="008C10B0">
      <w:pPr>
        <w:tabs>
          <w:tab w:val="left" w:pos="284"/>
        </w:tabs>
        <w:spacing w:after="0"/>
        <w:ind w:left="284"/>
        <w:jc w:val="both"/>
        <w:rPr>
          <w:rFonts w:ascii="Arial" w:hAnsi="Arial" w:cs="Arial"/>
          <w:b/>
          <w:sz w:val="18"/>
          <w:szCs w:val="18"/>
        </w:rPr>
      </w:pPr>
    </w:p>
    <w:p w14:paraId="68049525"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14:paraId="12DA8B01" w14:textId="45C8FB12" w:rsidR="008C10B0" w:rsidRDefault="008C10B0" w:rsidP="008C10B0">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proofErr w:type="gramStart"/>
      <w:r>
        <w:rPr>
          <w:rFonts w:ascii="Arial" w:hAnsi="Arial" w:cs="Arial"/>
          <w:sz w:val="18"/>
          <w:szCs w:val="18"/>
        </w:rPr>
        <w:t>que</w:t>
      </w:r>
      <w:proofErr w:type="gramEnd"/>
      <w:r>
        <w:rPr>
          <w:rFonts w:ascii="Arial" w:hAnsi="Arial" w:cs="Arial"/>
          <w:sz w:val="18"/>
          <w:szCs w:val="18"/>
        </w:rPr>
        <w:t xml:space="preserve"> al mes de </w:t>
      </w:r>
      <w:r w:rsidR="00D761A5">
        <w:rPr>
          <w:rFonts w:ascii="Arial" w:hAnsi="Arial" w:cs="Arial"/>
          <w:sz w:val="18"/>
          <w:szCs w:val="18"/>
        </w:rPr>
        <w:t>septiembre</w:t>
      </w:r>
      <w:r>
        <w:rPr>
          <w:rFonts w:ascii="Arial" w:hAnsi="Arial" w:cs="Arial"/>
          <w:sz w:val="18"/>
          <w:szCs w:val="18"/>
        </w:rPr>
        <w:t xml:space="preserve"> de 202</w:t>
      </w:r>
      <w:r w:rsidR="00732D19">
        <w:rPr>
          <w:rFonts w:ascii="Arial" w:hAnsi="Arial" w:cs="Arial"/>
          <w:sz w:val="18"/>
          <w:szCs w:val="18"/>
        </w:rPr>
        <w:t>5</w:t>
      </w:r>
      <w:r>
        <w:rPr>
          <w:rFonts w:ascii="Arial" w:hAnsi="Arial" w:cs="Arial"/>
          <w:sz w:val="18"/>
          <w:szCs w:val="18"/>
        </w:rPr>
        <w:t>, observan un monto de $</w:t>
      </w:r>
      <w:r w:rsidR="00D761A5">
        <w:rPr>
          <w:rFonts w:ascii="Arial" w:hAnsi="Arial" w:cs="Arial"/>
          <w:sz w:val="18"/>
          <w:szCs w:val="18"/>
        </w:rPr>
        <w:t>12</w:t>
      </w:r>
      <w:r>
        <w:rPr>
          <w:rFonts w:ascii="Arial" w:hAnsi="Arial" w:cs="Arial"/>
          <w:sz w:val="18"/>
          <w:szCs w:val="18"/>
        </w:rPr>
        <w:t>,</w:t>
      </w:r>
      <w:r w:rsidR="00D761A5">
        <w:rPr>
          <w:rFonts w:ascii="Arial" w:hAnsi="Arial" w:cs="Arial"/>
          <w:sz w:val="18"/>
          <w:szCs w:val="18"/>
        </w:rPr>
        <w:t>571</w:t>
      </w:r>
      <w:r>
        <w:rPr>
          <w:rFonts w:ascii="Arial" w:hAnsi="Arial" w:cs="Arial"/>
          <w:sz w:val="18"/>
          <w:szCs w:val="18"/>
        </w:rPr>
        <w:t>,</w:t>
      </w:r>
      <w:r w:rsidR="00732D19">
        <w:rPr>
          <w:rFonts w:ascii="Arial" w:hAnsi="Arial" w:cs="Arial"/>
          <w:sz w:val="18"/>
          <w:szCs w:val="18"/>
        </w:rPr>
        <w:t>72</w:t>
      </w:r>
      <w:r w:rsidR="00D761A5">
        <w:rPr>
          <w:rFonts w:ascii="Arial" w:hAnsi="Arial" w:cs="Arial"/>
          <w:sz w:val="18"/>
          <w:szCs w:val="18"/>
        </w:rPr>
        <w:t>4</w:t>
      </w:r>
      <w:r>
        <w:rPr>
          <w:rFonts w:ascii="Arial" w:hAnsi="Arial" w:cs="Arial"/>
          <w:sz w:val="18"/>
          <w:szCs w:val="18"/>
        </w:rPr>
        <w:t>,</w:t>
      </w:r>
      <w:r w:rsidR="00D761A5">
        <w:rPr>
          <w:rFonts w:ascii="Arial" w:hAnsi="Arial" w:cs="Arial"/>
          <w:sz w:val="18"/>
          <w:szCs w:val="18"/>
        </w:rPr>
        <w:t>773</w:t>
      </w:r>
      <w:r w:rsidR="008655F4">
        <w:rPr>
          <w:rFonts w:ascii="Arial" w:hAnsi="Arial" w:cs="Arial"/>
          <w:sz w:val="18"/>
          <w:szCs w:val="18"/>
        </w:rPr>
        <w:t xml:space="preserve">, observando un decremento del </w:t>
      </w:r>
      <w:r w:rsidR="00D761A5">
        <w:rPr>
          <w:rFonts w:ascii="Arial" w:hAnsi="Arial" w:cs="Arial"/>
          <w:sz w:val="18"/>
          <w:szCs w:val="18"/>
        </w:rPr>
        <w:t>3</w:t>
      </w:r>
      <w:r w:rsidR="008655F4">
        <w:rPr>
          <w:rFonts w:ascii="Arial" w:hAnsi="Arial" w:cs="Arial"/>
          <w:sz w:val="18"/>
          <w:szCs w:val="18"/>
        </w:rPr>
        <w:t>1%, respecto del ejercicio 2024.</w:t>
      </w:r>
      <w:r>
        <w:rPr>
          <w:rFonts w:ascii="Arial" w:hAnsi="Arial" w:cs="Arial"/>
          <w:sz w:val="18"/>
          <w:szCs w:val="18"/>
        </w:rPr>
        <w:t xml:space="preserve"> </w:t>
      </w:r>
    </w:p>
    <w:p w14:paraId="651361AE" w14:textId="77777777" w:rsidR="008C10B0" w:rsidRDefault="008C10B0" w:rsidP="008C10B0">
      <w:pPr>
        <w:tabs>
          <w:tab w:val="left" w:pos="284"/>
        </w:tabs>
        <w:spacing w:after="0"/>
        <w:ind w:left="284"/>
        <w:jc w:val="both"/>
        <w:rPr>
          <w:rFonts w:ascii="Arial" w:hAnsi="Arial" w:cs="Arial"/>
          <w:sz w:val="18"/>
          <w:szCs w:val="18"/>
        </w:rPr>
      </w:pPr>
    </w:p>
    <w:p w14:paraId="5050F87E" w14:textId="77777777" w:rsidR="009C5253" w:rsidRDefault="009C5253" w:rsidP="008C10B0">
      <w:pPr>
        <w:tabs>
          <w:tab w:val="left" w:pos="284"/>
        </w:tabs>
        <w:spacing w:after="0"/>
        <w:ind w:left="284"/>
        <w:jc w:val="both"/>
        <w:rPr>
          <w:rFonts w:ascii="Arial" w:hAnsi="Arial" w:cs="Arial"/>
          <w:b/>
          <w:sz w:val="18"/>
          <w:szCs w:val="18"/>
        </w:rPr>
      </w:pPr>
    </w:p>
    <w:p w14:paraId="4D59D39D" w14:textId="77777777" w:rsidR="009C5253" w:rsidRDefault="009C5253" w:rsidP="008C10B0">
      <w:pPr>
        <w:tabs>
          <w:tab w:val="left" w:pos="284"/>
        </w:tabs>
        <w:spacing w:after="0"/>
        <w:ind w:left="284"/>
        <w:jc w:val="both"/>
        <w:rPr>
          <w:rFonts w:ascii="Arial" w:hAnsi="Arial" w:cs="Arial"/>
          <w:b/>
          <w:sz w:val="18"/>
          <w:szCs w:val="18"/>
        </w:rPr>
      </w:pPr>
    </w:p>
    <w:p w14:paraId="33973285" w14:textId="77777777" w:rsidR="008C10B0" w:rsidRPr="00543F97" w:rsidRDefault="008C10B0" w:rsidP="008C10B0">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14:paraId="4A79D7C8" w14:textId="32A1C0B1" w:rsidR="008C10B0" w:rsidRDefault="008C10B0" w:rsidP="008C10B0">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D761A5">
        <w:rPr>
          <w:rFonts w:ascii="Arial" w:hAnsi="Arial" w:cs="Arial"/>
          <w:sz w:val="18"/>
          <w:szCs w:val="18"/>
        </w:rPr>
        <w:t>septiembre</w:t>
      </w:r>
      <w:r>
        <w:rPr>
          <w:rFonts w:ascii="Arial" w:hAnsi="Arial" w:cs="Arial"/>
          <w:sz w:val="18"/>
          <w:szCs w:val="18"/>
        </w:rPr>
        <w:t xml:space="preserve"> de 202</w:t>
      </w:r>
      <w:r w:rsidR="008655F4">
        <w:rPr>
          <w:rFonts w:ascii="Arial" w:hAnsi="Arial" w:cs="Arial"/>
          <w:sz w:val="18"/>
          <w:szCs w:val="18"/>
        </w:rPr>
        <w:t>5</w:t>
      </w:r>
      <w:r>
        <w:rPr>
          <w:rFonts w:ascii="Arial" w:hAnsi="Arial" w:cs="Arial"/>
          <w:sz w:val="18"/>
          <w:szCs w:val="18"/>
        </w:rPr>
        <w:t xml:space="preserve"> es de $</w:t>
      </w:r>
      <w:r w:rsidR="00D761A5">
        <w:rPr>
          <w:rFonts w:ascii="Arial" w:hAnsi="Arial" w:cs="Arial"/>
          <w:sz w:val="18"/>
          <w:szCs w:val="18"/>
        </w:rPr>
        <w:t>3</w:t>
      </w:r>
      <w:r>
        <w:rPr>
          <w:rFonts w:ascii="Arial" w:hAnsi="Arial" w:cs="Arial"/>
          <w:sz w:val="18"/>
          <w:szCs w:val="18"/>
        </w:rPr>
        <w:t>,</w:t>
      </w:r>
      <w:r w:rsidR="00D761A5">
        <w:rPr>
          <w:rFonts w:ascii="Arial" w:hAnsi="Arial" w:cs="Arial"/>
          <w:sz w:val="18"/>
          <w:szCs w:val="18"/>
        </w:rPr>
        <w:t>64</w:t>
      </w:r>
      <w:r w:rsidR="008655F4">
        <w:rPr>
          <w:rFonts w:ascii="Arial" w:hAnsi="Arial" w:cs="Arial"/>
          <w:sz w:val="18"/>
          <w:szCs w:val="18"/>
        </w:rPr>
        <w:t>8</w:t>
      </w:r>
      <w:r>
        <w:rPr>
          <w:rFonts w:ascii="Arial" w:hAnsi="Arial" w:cs="Arial"/>
          <w:sz w:val="18"/>
          <w:szCs w:val="18"/>
        </w:rPr>
        <w:t>,</w:t>
      </w:r>
      <w:r w:rsidR="00D761A5">
        <w:rPr>
          <w:rFonts w:ascii="Arial" w:hAnsi="Arial" w:cs="Arial"/>
          <w:sz w:val="18"/>
          <w:szCs w:val="18"/>
        </w:rPr>
        <w:t>84</w:t>
      </w:r>
      <w:r w:rsidR="008655F4">
        <w:rPr>
          <w:rFonts w:ascii="Arial" w:hAnsi="Arial" w:cs="Arial"/>
          <w:sz w:val="18"/>
          <w:szCs w:val="18"/>
        </w:rPr>
        <w:t>0</w:t>
      </w:r>
      <w:r>
        <w:rPr>
          <w:rFonts w:ascii="Arial" w:hAnsi="Arial" w:cs="Arial"/>
          <w:sz w:val="18"/>
          <w:szCs w:val="18"/>
        </w:rPr>
        <w:t>,</w:t>
      </w:r>
      <w:r w:rsidR="00D761A5">
        <w:rPr>
          <w:rFonts w:ascii="Arial" w:hAnsi="Arial" w:cs="Arial"/>
          <w:sz w:val="18"/>
          <w:szCs w:val="18"/>
        </w:rPr>
        <w:t>701</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 el Programa Estatal de Infraestructura y lo correspondiente a</w:t>
      </w:r>
      <w:r w:rsidRPr="00DE62C8">
        <w:rPr>
          <w:rFonts w:ascii="Arial" w:hAnsi="Arial" w:cs="Arial"/>
          <w:sz w:val="18"/>
          <w:szCs w:val="18"/>
        </w:rPr>
        <w:t xml:space="preserve">l </w:t>
      </w:r>
      <w:r w:rsidR="00D761A5">
        <w:rPr>
          <w:rFonts w:ascii="Arial" w:hAnsi="Arial" w:cs="Arial"/>
          <w:sz w:val="18"/>
          <w:szCs w:val="18"/>
        </w:rPr>
        <w:t>tercer</w:t>
      </w:r>
      <w:r>
        <w:rPr>
          <w:rFonts w:ascii="Arial" w:hAnsi="Arial" w:cs="Arial"/>
          <w:sz w:val="18"/>
          <w:szCs w:val="18"/>
        </w:rPr>
        <w:t xml:space="preserve"> ajuste trimestral. Los cuales al </w:t>
      </w:r>
      <w:r w:rsidRPr="00DE62C8">
        <w:rPr>
          <w:rFonts w:ascii="Arial" w:hAnsi="Arial" w:cs="Arial"/>
          <w:sz w:val="18"/>
          <w:szCs w:val="18"/>
        </w:rPr>
        <w:t>3</w:t>
      </w:r>
      <w:r w:rsidR="00D761A5">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D761A5">
        <w:rPr>
          <w:rFonts w:ascii="Arial" w:hAnsi="Arial" w:cs="Arial"/>
          <w:sz w:val="18"/>
          <w:szCs w:val="18"/>
        </w:rPr>
        <w:t>septiembre</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Pr>
          <w:rFonts w:ascii="Arial" w:hAnsi="Arial" w:cs="Arial"/>
          <w:sz w:val="18"/>
          <w:szCs w:val="18"/>
        </w:rPr>
        <w:t xml:space="preserve"> Observándose una variación </w:t>
      </w:r>
      <w:r w:rsidR="00D761A5">
        <w:rPr>
          <w:rFonts w:ascii="Arial" w:hAnsi="Arial" w:cs="Arial"/>
          <w:sz w:val="18"/>
          <w:szCs w:val="18"/>
        </w:rPr>
        <w:t xml:space="preserve">cercana al </w:t>
      </w:r>
      <w:r w:rsidR="005219C2">
        <w:rPr>
          <w:rFonts w:ascii="Arial" w:hAnsi="Arial" w:cs="Arial"/>
          <w:sz w:val="18"/>
          <w:szCs w:val="18"/>
        </w:rPr>
        <w:t>66%</w:t>
      </w:r>
      <w:r>
        <w:rPr>
          <w:rFonts w:ascii="Arial" w:hAnsi="Arial" w:cs="Arial"/>
          <w:sz w:val="18"/>
          <w:szCs w:val="18"/>
        </w:rPr>
        <w:t xml:space="preserve"> respecto al ejercicio 202</w:t>
      </w:r>
      <w:r w:rsidR="008655F4">
        <w:rPr>
          <w:rFonts w:ascii="Arial" w:hAnsi="Arial" w:cs="Arial"/>
          <w:sz w:val="18"/>
          <w:szCs w:val="18"/>
        </w:rPr>
        <w:t>4</w:t>
      </w:r>
      <w:r>
        <w:rPr>
          <w:rFonts w:ascii="Arial" w:hAnsi="Arial" w:cs="Arial"/>
          <w:sz w:val="18"/>
          <w:szCs w:val="18"/>
        </w:rPr>
        <w:t>.</w:t>
      </w:r>
    </w:p>
    <w:p w14:paraId="3F57E7BA" w14:textId="77777777" w:rsidR="008C10B0" w:rsidRDefault="008C10B0" w:rsidP="008C10B0">
      <w:pPr>
        <w:tabs>
          <w:tab w:val="left" w:pos="284"/>
        </w:tabs>
        <w:spacing w:after="0"/>
        <w:ind w:left="284"/>
        <w:jc w:val="both"/>
        <w:rPr>
          <w:rFonts w:ascii="Arial" w:hAnsi="Arial" w:cs="Arial"/>
          <w:sz w:val="18"/>
          <w:szCs w:val="18"/>
        </w:rPr>
      </w:pPr>
    </w:p>
    <w:p w14:paraId="2A619CC5" w14:textId="77777777" w:rsidR="008C10B0" w:rsidRPr="0073056A" w:rsidRDefault="008C10B0" w:rsidP="008C10B0">
      <w:pPr>
        <w:pStyle w:val="INCISO"/>
        <w:spacing w:after="0" w:line="276" w:lineRule="auto"/>
        <w:ind w:left="0" w:firstLine="284"/>
        <w:rPr>
          <w:b/>
          <w:smallCaps/>
        </w:rPr>
      </w:pPr>
      <w:r>
        <w:rPr>
          <w:b/>
          <w:smallCaps/>
        </w:rPr>
        <w:t xml:space="preserve">II.   </w:t>
      </w:r>
      <w:r w:rsidRPr="0073056A">
        <w:rPr>
          <w:b/>
          <w:smallCaps/>
        </w:rPr>
        <w:t>Notas al Estado de Situación Financiera</w:t>
      </w:r>
    </w:p>
    <w:p w14:paraId="7DC7EF01" w14:textId="77777777" w:rsidR="008C10B0" w:rsidRPr="0073056A" w:rsidRDefault="008C10B0" w:rsidP="008C10B0">
      <w:pPr>
        <w:pStyle w:val="Texto"/>
        <w:spacing w:after="0" w:line="276" w:lineRule="auto"/>
        <w:rPr>
          <w:b/>
          <w:szCs w:val="18"/>
          <w:lang w:val="es-MX"/>
        </w:rPr>
      </w:pPr>
    </w:p>
    <w:p w14:paraId="7A28F777" w14:textId="77777777" w:rsidR="008C10B0" w:rsidRPr="0073056A" w:rsidRDefault="008C10B0" w:rsidP="008C10B0">
      <w:pPr>
        <w:pStyle w:val="Texto"/>
        <w:spacing w:after="0" w:line="276" w:lineRule="auto"/>
        <w:rPr>
          <w:b/>
          <w:szCs w:val="18"/>
          <w:lang w:val="es-MX"/>
        </w:rPr>
      </w:pPr>
      <w:r w:rsidRPr="0073056A">
        <w:rPr>
          <w:b/>
          <w:szCs w:val="18"/>
          <w:lang w:val="es-MX"/>
        </w:rPr>
        <w:t>Activo</w:t>
      </w:r>
    </w:p>
    <w:p w14:paraId="10AA850C" w14:textId="77777777" w:rsidR="008C10B0" w:rsidRPr="0073056A" w:rsidRDefault="008C10B0" w:rsidP="008C10B0">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14:paraId="78BED7BA" w14:textId="77777777" w:rsidR="008C10B0" w:rsidRPr="0073056A" w:rsidRDefault="008C10B0" w:rsidP="008C10B0">
      <w:pPr>
        <w:pStyle w:val="Texto"/>
        <w:spacing w:after="0" w:line="276" w:lineRule="auto"/>
        <w:ind w:firstLine="284"/>
        <w:rPr>
          <w:b/>
          <w:szCs w:val="18"/>
          <w:lang w:val="es-MX"/>
        </w:rPr>
      </w:pPr>
      <w:r w:rsidRPr="0073056A">
        <w:rPr>
          <w:b/>
          <w:szCs w:val="18"/>
          <w:lang w:val="es-MX"/>
        </w:rPr>
        <w:t>Efectivo y Equivalentes</w:t>
      </w:r>
    </w:p>
    <w:p w14:paraId="4C66E784" w14:textId="3746AC3E" w:rsidR="008C10B0" w:rsidRPr="0073056A" w:rsidRDefault="008C10B0" w:rsidP="008C10B0">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sidR="008655F4">
        <w:rPr>
          <w:rFonts w:ascii="Arial" w:hAnsi="Arial" w:cs="Arial"/>
          <w:sz w:val="18"/>
          <w:szCs w:val="18"/>
        </w:rPr>
        <w:t>4</w:t>
      </w:r>
      <w:r>
        <w:rPr>
          <w:rFonts w:ascii="Arial" w:hAnsi="Arial" w:cs="Arial"/>
          <w:sz w:val="18"/>
          <w:szCs w:val="18"/>
        </w:rPr>
        <w:t>,</w:t>
      </w:r>
      <w:r w:rsidR="005219C2">
        <w:rPr>
          <w:rFonts w:ascii="Arial" w:hAnsi="Arial" w:cs="Arial"/>
          <w:sz w:val="18"/>
          <w:szCs w:val="18"/>
        </w:rPr>
        <w:t>979</w:t>
      </w:r>
      <w:r>
        <w:rPr>
          <w:rFonts w:ascii="Arial" w:hAnsi="Arial" w:cs="Arial"/>
          <w:sz w:val="18"/>
          <w:szCs w:val="18"/>
        </w:rPr>
        <w:t>,</w:t>
      </w:r>
      <w:r w:rsidR="005219C2">
        <w:rPr>
          <w:rFonts w:ascii="Arial" w:hAnsi="Arial" w:cs="Arial"/>
          <w:sz w:val="18"/>
          <w:szCs w:val="18"/>
        </w:rPr>
        <w:t>271</w:t>
      </w:r>
      <w:r>
        <w:rPr>
          <w:rFonts w:ascii="Arial" w:hAnsi="Arial" w:cs="Arial"/>
          <w:sz w:val="18"/>
          <w:szCs w:val="18"/>
        </w:rPr>
        <w:t>,</w:t>
      </w:r>
      <w:r w:rsidR="005219C2">
        <w:rPr>
          <w:rFonts w:ascii="Arial" w:hAnsi="Arial" w:cs="Arial"/>
          <w:sz w:val="18"/>
          <w:szCs w:val="18"/>
        </w:rPr>
        <w:t>102</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5219C2">
        <w:rPr>
          <w:rFonts w:ascii="Arial" w:hAnsi="Arial" w:cs="Arial"/>
          <w:sz w:val="18"/>
          <w:szCs w:val="18"/>
        </w:rPr>
        <w:t>Tercer</w:t>
      </w:r>
      <w:r>
        <w:rPr>
          <w:rFonts w:ascii="Arial" w:hAnsi="Arial" w:cs="Arial"/>
          <w:sz w:val="18"/>
          <w:szCs w:val="18"/>
        </w:rPr>
        <w:t xml:space="preserve"> Ajuste Trimestral 202</w:t>
      </w:r>
      <w:r w:rsidR="008655F4">
        <w:rPr>
          <w:rFonts w:ascii="Arial" w:hAnsi="Arial" w:cs="Arial"/>
          <w:sz w:val="18"/>
          <w:szCs w:val="18"/>
        </w:rPr>
        <w:t>5</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 observando una diferencia de $</w:t>
      </w:r>
      <w:r w:rsidR="005219C2">
        <w:rPr>
          <w:rFonts w:ascii="Arial" w:hAnsi="Arial" w:cs="Arial"/>
          <w:sz w:val="18"/>
          <w:szCs w:val="18"/>
        </w:rPr>
        <w:t>1,841</w:t>
      </w:r>
      <w:r>
        <w:rPr>
          <w:rFonts w:ascii="Arial" w:hAnsi="Arial" w:cs="Arial"/>
          <w:sz w:val="18"/>
          <w:szCs w:val="18"/>
        </w:rPr>
        <w:t>,</w:t>
      </w:r>
      <w:r w:rsidR="005219C2">
        <w:rPr>
          <w:rFonts w:ascii="Arial" w:hAnsi="Arial" w:cs="Arial"/>
          <w:sz w:val="18"/>
          <w:szCs w:val="18"/>
        </w:rPr>
        <w:t>729</w:t>
      </w:r>
      <w:r>
        <w:rPr>
          <w:rFonts w:ascii="Arial" w:hAnsi="Arial" w:cs="Arial"/>
          <w:sz w:val="18"/>
          <w:szCs w:val="18"/>
        </w:rPr>
        <w:t>,</w:t>
      </w:r>
      <w:r w:rsidR="005219C2">
        <w:rPr>
          <w:rFonts w:ascii="Arial" w:hAnsi="Arial" w:cs="Arial"/>
          <w:sz w:val="18"/>
          <w:szCs w:val="18"/>
        </w:rPr>
        <w:t>098</w:t>
      </w:r>
      <w:r>
        <w:rPr>
          <w:rFonts w:ascii="Arial" w:hAnsi="Arial" w:cs="Arial"/>
          <w:sz w:val="18"/>
          <w:szCs w:val="18"/>
        </w:rPr>
        <w:t>, respecto al ejercicio de 202</w:t>
      </w:r>
      <w:r w:rsidR="008655F4">
        <w:rPr>
          <w:rFonts w:ascii="Arial" w:hAnsi="Arial" w:cs="Arial"/>
          <w:sz w:val="18"/>
          <w:szCs w:val="18"/>
        </w:rPr>
        <w:t>4</w:t>
      </w:r>
      <w:r>
        <w:rPr>
          <w:rFonts w:ascii="Arial" w:hAnsi="Arial" w:cs="Arial"/>
          <w:sz w:val="18"/>
          <w:szCs w:val="18"/>
        </w:rPr>
        <w:t>.</w:t>
      </w:r>
    </w:p>
    <w:p w14:paraId="22CC90FE" w14:textId="77777777" w:rsidR="008C10B0" w:rsidRPr="0073056A" w:rsidRDefault="008C10B0" w:rsidP="008C10B0">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14:paraId="1CE3122E" w14:textId="77777777" w:rsidR="008C10B0" w:rsidRPr="0073056A" w:rsidRDefault="008C10B0" w:rsidP="008C10B0">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14:paraId="4E3D2123" w14:textId="1E8A7ACE" w:rsidR="008C10B0" w:rsidRPr="0073056A" w:rsidRDefault="008C10B0" w:rsidP="008C10B0">
      <w:pPr>
        <w:ind w:left="284"/>
        <w:jc w:val="both"/>
        <w:rPr>
          <w:rFonts w:ascii="Arial" w:hAnsi="Arial" w:cs="Arial"/>
          <w:sz w:val="18"/>
          <w:szCs w:val="18"/>
        </w:rPr>
      </w:pPr>
      <w:r w:rsidRPr="0073056A">
        <w:rPr>
          <w:rFonts w:ascii="Arial" w:hAnsi="Arial" w:cs="Arial"/>
          <w:sz w:val="18"/>
          <w:szCs w:val="18"/>
        </w:rPr>
        <w:t>El importe de $</w:t>
      </w:r>
      <w:r w:rsidR="005219C2">
        <w:rPr>
          <w:rFonts w:ascii="Arial" w:hAnsi="Arial" w:cs="Arial"/>
          <w:sz w:val="18"/>
          <w:szCs w:val="18"/>
        </w:rPr>
        <w:t>8</w:t>
      </w:r>
      <w:r>
        <w:rPr>
          <w:rFonts w:ascii="Arial" w:hAnsi="Arial" w:cs="Arial"/>
          <w:sz w:val="18"/>
          <w:szCs w:val="18"/>
        </w:rPr>
        <w:t>,</w:t>
      </w:r>
      <w:r w:rsidR="005219C2">
        <w:rPr>
          <w:rFonts w:ascii="Arial" w:hAnsi="Arial" w:cs="Arial"/>
          <w:sz w:val="18"/>
          <w:szCs w:val="18"/>
        </w:rPr>
        <w:t>86</w:t>
      </w:r>
      <w:r w:rsidR="008655F4">
        <w:rPr>
          <w:rFonts w:ascii="Arial" w:hAnsi="Arial" w:cs="Arial"/>
          <w:sz w:val="18"/>
          <w:szCs w:val="18"/>
        </w:rPr>
        <w:t>6</w:t>
      </w:r>
      <w:r>
        <w:rPr>
          <w:rFonts w:ascii="Arial" w:hAnsi="Arial" w:cs="Arial"/>
          <w:sz w:val="18"/>
          <w:szCs w:val="18"/>
        </w:rPr>
        <w:t>,</w:t>
      </w:r>
      <w:r w:rsidR="005219C2">
        <w:rPr>
          <w:rFonts w:ascii="Arial" w:hAnsi="Arial" w:cs="Arial"/>
          <w:sz w:val="18"/>
          <w:szCs w:val="18"/>
        </w:rPr>
        <w:t>312</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5219C2">
        <w:rPr>
          <w:rFonts w:ascii="Arial" w:hAnsi="Arial" w:cs="Arial"/>
          <w:sz w:val="18"/>
          <w:szCs w:val="18"/>
        </w:rPr>
        <w:t>terc</w:t>
      </w:r>
      <w:r w:rsidR="008655F4">
        <w:rPr>
          <w:rFonts w:ascii="Arial" w:hAnsi="Arial" w:cs="Arial"/>
          <w:sz w:val="18"/>
          <w:szCs w:val="18"/>
        </w:rPr>
        <w:t>er</w:t>
      </w:r>
      <w:r w:rsidRPr="00F52C6D">
        <w:rPr>
          <w:rFonts w:ascii="Arial" w:hAnsi="Arial" w:cs="Arial"/>
          <w:sz w:val="18"/>
          <w:szCs w:val="18"/>
        </w:rPr>
        <w:t xml:space="preserve"> trimestre</w:t>
      </w:r>
      <w:r>
        <w:rPr>
          <w:rFonts w:ascii="Arial" w:hAnsi="Arial" w:cs="Arial"/>
          <w:sz w:val="18"/>
          <w:szCs w:val="18"/>
        </w:rPr>
        <w:t xml:space="preserve"> del ejercicio 202</w:t>
      </w:r>
      <w:r w:rsidR="008655F4">
        <w:rPr>
          <w:rFonts w:ascii="Arial" w:hAnsi="Arial" w:cs="Arial"/>
          <w:sz w:val="18"/>
          <w:szCs w:val="18"/>
        </w:rPr>
        <w:t>5</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 siendo m</w:t>
      </w:r>
      <w:r w:rsidR="005D0934">
        <w:rPr>
          <w:rFonts w:ascii="Arial" w:hAnsi="Arial" w:cs="Arial"/>
          <w:sz w:val="18"/>
          <w:szCs w:val="18"/>
        </w:rPr>
        <w:t>enor</w:t>
      </w:r>
      <w:r>
        <w:rPr>
          <w:rFonts w:ascii="Arial" w:hAnsi="Arial" w:cs="Arial"/>
          <w:sz w:val="18"/>
          <w:szCs w:val="18"/>
        </w:rPr>
        <w:t xml:space="preserve"> en $</w:t>
      </w:r>
      <w:r w:rsidR="005D0934">
        <w:rPr>
          <w:rFonts w:ascii="Arial" w:hAnsi="Arial" w:cs="Arial"/>
          <w:sz w:val="18"/>
          <w:szCs w:val="18"/>
        </w:rPr>
        <w:t>27</w:t>
      </w:r>
      <w:r>
        <w:rPr>
          <w:rFonts w:ascii="Arial" w:hAnsi="Arial" w:cs="Arial"/>
          <w:sz w:val="18"/>
          <w:szCs w:val="18"/>
        </w:rPr>
        <w:t>,</w:t>
      </w:r>
      <w:r w:rsidR="005D0934">
        <w:rPr>
          <w:rFonts w:ascii="Arial" w:hAnsi="Arial" w:cs="Arial"/>
          <w:sz w:val="18"/>
          <w:szCs w:val="18"/>
        </w:rPr>
        <w:t>028</w:t>
      </w:r>
      <w:r>
        <w:rPr>
          <w:rFonts w:ascii="Arial" w:hAnsi="Arial" w:cs="Arial"/>
          <w:sz w:val="18"/>
          <w:szCs w:val="18"/>
        </w:rPr>
        <w:t>,</w:t>
      </w:r>
      <w:r w:rsidR="005D0934">
        <w:rPr>
          <w:rFonts w:ascii="Arial" w:hAnsi="Arial" w:cs="Arial"/>
          <w:sz w:val="18"/>
          <w:szCs w:val="18"/>
        </w:rPr>
        <w:t>076</w:t>
      </w:r>
      <w:r>
        <w:rPr>
          <w:rFonts w:ascii="Arial" w:hAnsi="Arial" w:cs="Arial"/>
          <w:sz w:val="18"/>
          <w:szCs w:val="18"/>
        </w:rPr>
        <w:t xml:space="preserve"> respecto al ejercicio de 202</w:t>
      </w:r>
      <w:r w:rsidR="008655F4">
        <w:rPr>
          <w:rFonts w:ascii="Arial" w:hAnsi="Arial" w:cs="Arial"/>
          <w:sz w:val="18"/>
          <w:szCs w:val="18"/>
        </w:rPr>
        <w:t>4</w:t>
      </w:r>
      <w:r>
        <w:rPr>
          <w:rFonts w:ascii="Arial" w:hAnsi="Arial" w:cs="Arial"/>
          <w:sz w:val="18"/>
          <w:szCs w:val="18"/>
        </w:rPr>
        <w:t>.</w:t>
      </w:r>
    </w:p>
    <w:p w14:paraId="1A2D1EEC" w14:textId="238BAA07" w:rsidR="008C10B0" w:rsidRDefault="008C10B0" w:rsidP="008C10B0">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Pr>
          <w:rFonts w:ascii="Arial" w:hAnsi="Arial" w:cs="Arial"/>
          <w:sz w:val="18"/>
          <w:szCs w:val="18"/>
        </w:rPr>
        <w:t xml:space="preserve"> al cierre del </w:t>
      </w:r>
      <w:r w:rsidR="005D0934">
        <w:rPr>
          <w:rFonts w:ascii="Arial" w:hAnsi="Arial" w:cs="Arial"/>
          <w:sz w:val="18"/>
          <w:szCs w:val="18"/>
        </w:rPr>
        <w:t>terce</w:t>
      </w:r>
      <w:r w:rsidR="008655F4">
        <w:rPr>
          <w:rFonts w:ascii="Arial" w:hAnsi="Arial" w:cs="Arial"/>
          <w:sz w:val="18"/>
          <w:szCs w:val="18"/>
        </w:rPr>
        <w:t>r</w:t>
      </w:r>
      <w:r>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Pr>
          <w:rFonts w:ascii="Arial" w:hAnsi="Arial" w:cs="Arial"/>
          <w:sz w:val="18"/>
          <w:szCs w:val="18"/>
        </w:rPr>
        <w:t>, refleja un saldo de $</w:t>
      </w:r>
      <w:r w:rsidR="005D0934">
        <w:rPr>
          <w:rFonts w:ascii="Arial" w:hAnsi="Arial" w:cs="Arial"/>
          <w:sz w:val="18"/>
          <w:szCs w:val="18"/>
        </w:rPr>
        <w:t>342,394,541</w:t>
      </w:r>
      <w:r>
        <w:rPr>
          <w:rFonts w:ascii="Arial" w:hAnsi="Arial" w:cs="Arial"/>
          <w:sz w:val="18"/>
          <w:szCs w:val="18"/>
        </w:rPr>
        <w:t xml:space="preserve"> por derechos a recibir bienes o servicios</w:t>
      </w:r>
      <w:r w:rsidRPr="0073056A">
        <w:rPr>
          <w:rFonts w:ascii="Arial" w:hAnsi="Arial" w:cs="Arial"/>
          <w:sz w:val="18"/>
          <w:szCs w:val="18"/>
        </w:rPr>
        <w:t>.</w:t>
      </w:r>
    </w:p>
    <w:p w14:paraId="50080A17" w14:textId="77777777" w:rsidR="008C10B0" w:rsidRDefault="008C10B0" w:rsidP="008C10B0">
      <w:pPr>
        <w:pStyle w:val="ROMANOS"/>
        <w:tabs>
          <w:tab w:val="clear" w:pos="720"/>
          <w:tab w:val="left" w:pos="284"/>
        </w:tabs>
        <w:spacing w:after="0" w:line="276" w:lineRule="auto"/>
        <w:ind w:left="284" w:firstLine="0"/>
        <w:rPr>
          <w:b/>
          <w:lang w:val="es-MX"/>
        </w:rPr>
      </w:pPr>
    </w:p>
    <w:p w14:paraId="5F7803B3" w14:textId="77777777" w:rsidR="008C10B0" w:rsidRPr="0073056A" w:rsidRDefault="008C10B0" w:rsidP="008C10B0">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14:paraId="1A32C0B9" w14:textId="48BDD691" w:rsidR="008C10B0" w:rsidRPr="0073056A" w:rsidRDefault="008C10B0" w:rsidP="008C10B0">
      <w:pPr>
        <w:ind w:left="284"/>
        <w:jc w:val="both"/>
        <w:rPr>
          <w:rFonts w:ascii="Arial" w:hAnsi="Arial" w:cs="Arial"/>
          <w:sz w:val="18"/>
          <w:szCs w:val="18"/>
        </w:rPr>
      </w:pPr>
      <w:r>
        <w:rPr>
          <w:rFonts w:ascii="Arial" w:hAnsi="Arial" w:cs="Arial"/>
          <w:sz w:val="18"/>
          <w:szCs w:val="18"/>
        </w:rPr>
        <w:t xml:space="preserve">Al cierre del </w:t>
      </w:r>
      <w:r w:rsidR="005D0934">
        <w:rPr>
          <w:rFonts w:ascii="Arial" w:hAnsi="Arial" w:cs="Arial"/>
          <w:sz w:val="18"/>
          <w:szCs w:val="18"/>
        </w:rPr>
        <w:t>terc</w:t>
      </w:r>
      <w:r w:rsidR="008655F4">
        <w:rPr>
          <w:rFonts w:ascii="Arial" w:hAnsi="Arial" w:cs="Arial"/>
          <w:sz w:val="18"/>
          <w:szCs w:val="18"/>
        </w:rPr>
        <w:t>er</w:t>
      </w:r>
      <w:r>
        <w:rPr>
          <w:rFonts w:ascii="Arial" w:hAnsi="Arial" w:cs="Arial"/>
          <w:sz w:val="18"/>
          <w:szCs w:val="18"/>
        </w:rPr>
        <w:t xml:space="preserve"> trimestre del ejercicio 202</w:t>
      </w:r>
      <w:r w:rsidR="008655F4">
        <w:rPr>
          <w:rFonts w:ascii="Arial" w:hAnsi="Arial" w:cs="Arial"/>
          <w:sz w:val="18"/>
          <w:szCs w:val="18"/>
        </w:rPr>
        <w:t>5</w:t>
      </w:r>
      <w:r>
        <w:rPr>
          <w:rFonts w:ascii="Arial" w:hAnsi="Arial" w:cs="Arial"/>
          <w:sz w:val="18"/>
          <w:szCs w:val="18"/>
        </w:rPr>
        <w:t xml:space="preserve"> el Poder Ejecutivo no cuenta con Bienes Disponibles para su Transformación o Consumo (inventarios).</w:t>
      </w:r>
    </w:p>
    <w:p w14:paraId="281832C1" w14:textId="77777777" w:rsidR="008C10B0" w:rsidRPr="0073056A" w:rsidRDefault="008C10B0" w:rsidP="008C10B0">
      <w:pPr>
        <w:pStyle w:val="ROMANOS"/>
        <w:tabs>
          <w:tab w:val="clear" w:pos="720"/>
          <w:tab w:val="left" w:pos="851"/>
        </w:tabs>
        <w:spacing w:after="0" w:line="276" w:lineRule="auto"/>
        <w:ind w:left="284" w:firstLine="0"/>
        <w:rPr>
          <w:b/>
          <w:lang w:val="es-MX"/>
        </w:rPr>
      </w:pPr>
      <w:r w:rsidRPr="0073056A">
        <w:rPr>
          <w:b/>
          <w:lang w:val="es-MX"/>
        </w:rPr>
        <w:t>Inversiones Financieras</w:t>
      </w:r>
    </w:p>
    <w:p w14:paraId="435FDCC5" w14:textId="11C10B68" w:rsidR="008C10B0" w:rsidRPr="0073056A" w:rsidRDefault="008C10B0" w:rsidP="008C10B0">
      <w:pPr>
        <w:ind w:left="284"/>
        <w:jc w:val="both"/>
        <w:rPr>
          <w:rFonts w:ascii="Arial" w:hAnsi="Arial" w:cs="Arial"/>
          <w:sz w:val="18"/>
          <w:szCs w:val="18"/>
        </w:rPr>
      </w:pPr>
      <w:r>
        <w:rPr>
          <w:rFonts w:ascii="Arial" w:hAnsi="Arial" w:cs="Arial"/>
          <w:sz w:val="18"/>
          <w:szCs w:val="18"/>
        </w:rPr>
        <w:t xml:space="preserve">Al cierre del </w:t>
      </w:r>
      <w:r w:rsidR="005D0934">
        <w:rPr>
          <w:rFonts w:ascii="Arial" w:hAnsi="Arial" w:cs="Arial"/>
          <w:sz w:val="18"/>
          <w:szCs w:val="18"/>
        </w:rPr>
        <w:t>tercer</w:t>
      </w:r>
      <w:r>
        <w:rPr>
          <w:rFonts w:ascii="Arial" w:hAnsi="Arial" w:cs="Arial"/>
          <w:sz w:val="18"/>
          <w:szCs w:val="18"/>
        </w:rPr>
        <w:t xml:space="preserve"> trimestre del ejercicio 202</w:t>
      </w:r>
      <w:r w:rsidR="00E328A2">
        <w:rPr>
          <w:rFonts w:ascii="Arial" w:hAnsi="Arial" w:cs="Arial"/>
          <w:sz w:val="18"/>
          <w:szCs w:val="18"/>
        </w:rPr>
        <w:t>5</w:t>
      </w:r>
      <w:r>
        <w:rPr>
          <w:rFonts w:ascii="Arial" w:hAnsi="Arial" w:cs="Arial"/>
          <w:sz w:val="18"/>
          <w:szCs w:val="18"/>
        </w:rPr>
        <w:t xml:space="preserve"> el Poder Ejecutivo cuenta con Inversiones Financieras a Largo Plazo por un importe de $</w:t>
      </w:r>
      <w:r w:rsidR="00E328A2">
        <w:rPr>
          <w:rFonts w:ascii="Arial" w:hAnsi="Arial" w:cs="Arial"/>
          <w:sz w:val="18"/>
          <w:szCs w:val="18"/>
        </w:rPr>
        <w:t>4</w:t>
      </w:r>
      <w:r w:rsidR="005D0934">
        <w:rPr>
          <w:rFonts w:ascii="Arial" w:hAnsi="Arial" w:cs="Arial"/>
          <w:sz w:val="18"/>
          <w:szCs w:val="18"/>
        </w:rPr>
        <w:t>90</w:t>
      </w:r>
      <w:r>
        <w:rPr>
          <w:rFonts w:ascii="Arial" w:hAnsi="Arial" w:cs="Arial"/>
          <w:sz w:val="18"/>
          <w:szCs w:val="18"/>
        </w:rPr>
        <w:t>,</w:t>
      </w:r>
      <w:r w:rsidR="005D0934">
        <w:rPr>
          <w:rFonts w:ascii="Arial" w:hAnsi="Arial" w:cs="Arial"/>
          <w:sz w:val="18"/>
          <w:szCs w:val="18"/>
        </w:rPr>
        <w:t>947</w:t>
      </w:r>
      <w:r>
        <w:rPr>
          <w:rFonts w:ascii="Arial" w:hAnsi="Arial" w:cs="Arial"/>
          <w:sz w:val="18"/>
          <w:szCs w:val="18"/>
        </w:rPr>
        <w:t>,</w:t>
      </w:r>
      <w:r w:rsidR="005D0934">
        <w:rPr>
          <w:rFonts w:ascii="Arial" w:hAnsi="Arial" w:cs="Arial"/>
          <w:sz w:val="18"/>
          <w:szCs w:val="18"/>
        </w:rPr>
        <w:t>753</w:t>
      </w:r>
      <w:r>
        <w:rPr>
          <w:rFonts w:ascii="Arial" w:hAnsi="Arial" w:cs="Arial"/>
          <w:sz w:val="18"/>
          <w:szCs w:val="18"/>
        </w:rPr>
        <w:t>, que respaldan los diversos fondos de reserva del Ejecutivo del Estado.</w:t>
      </w:r>
    </w:p>
    <w:p w14:paraId="4FA5566B" w14:textId="77777777" w:rsidR="008C10B0" w:rsidRPr="0073056A" w:rsidRDefault="008C10B0" w:rsidP="008C10B0">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14:paraId="14F13372" w14:textId="52CE623A" w:rsidR="008C10B0" w:rsidRPr="0073056A"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Al cierre del </w:t>
      </w:r>
      <w:r w:rsidR="005D0934">
        <w:rPr>
          <w:rFonts w:ascii="Arial" w:hAnsi="Arial" w:cs="Arial"/>
          <w:sz w:val="18"/>
          <w:szCs w:val="18"/>
        </w:rPr>
        <w:t>terce</w:t>
      </w:r>
      <w:r w:rsidR="00E328A2">
        <w:rPr>
          <w:rFonts w:ascii="Arial" w:hAnsi="Arial" w:cs="Arial"/>
          <w:sz w:val="18"/>
          <w:szCs w:val="18"/>
        </w:rPr>
        <w:t>r</w:t>
      </w:r>
      <w:r>
        <w:rPr>
          <w:rFonts w:ascii="Arial" w:hAnsi="Arial" w:cs="Arial"/>
          <w:sz w:val="18"/>
          <w:szCs w:val="18"/>
        </w:rPr>
        <w:t xml:space="preserve"> trimestre del ejercicio 202</w:t>
      </w:r>
      <w:r w:rsidR="00E328A2">
        <w:rPr>
          <w:rFonts w:ascii="Arial" w:hAnsi="Arial" w:cs="Arial"/>
          <w:sz w:val="18"/>
          <w:szCs w:val="18"/>
        </w:rPr>
        <w:t>5</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3,</w:t>
      </w:r>
      <w:r w:rsidR="005D0934">
        <w:rPr>
          <w:rFonts w:ascii="Arial" w:hAnsi="Arial" w:cs="Arial"/>
          <w:sz w:val="18"/>
          <w:szCs w:val="18"/>
        </w:rPr>
        <w:t>378</w:t>
      </w:r>
      <w:r>
        <w:rPr>
          <w:rFonts w:ascii="Arial" w:hAnsi="Arial" w:cs="Arial"/>
          <w:sz w:val="18"/>
          <w:szCs w:val="18"/>
        </w:rPr>
        <w:t>,</w:t>
      </w:r>
      <w:r w:rsidR="005D0934">
        <w:rPr>
          <w:rFonts w:ascii="Arial" w:hAnsi="Arial" w:cs="Arial"/>
          <w:sz w:val="18"/>
          <w:szCs w:val="18"/>
        </w:rPr>
        <w:t>127</w:t>
      </w:r>
      <w:r>
        <w:rPr>
          <w:rFonts w:ascii="Arial" w:hAnsi="Arial" w:cs="Arial"/>
          <w:sz w:val="18"/>
          <w:szCs w:val="18"/>
        </w:rPr>
        <w:t>,</w:t>
      </w:r>
      <w:r w:rsidR="005D0934">
        <w:rPr>
          <w:rFonts w:ascii="Arial" w:hAnsi="Arial" w:cs="Arial"/>
          <w:sz w:val="18"/>
          <w:szCs w:val="18"/>
        </w:rPr>
        <w:t>789</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xml:space="preserve">, así como colecciones, obras de arte y objetos valiosos, presentando un </w:t>
      </w:r>
      <w:r w:rsidR="005D0934">
        <w:rPr>
          <w:rFonts w:ascii="Arial" w:hAnsi="Arial" w:cs="Arial"/>
          <w:sz w:val="18"/>
          <w:szCs w:val="18"/>
        </w:rPr>
        <w:t>de</w:t>
      </w:r>
      <w:r>
        <w:rPr>
          <w:rFonts w:ascii="Arial" w:hAnsi="Arial" w:cs="Arial"/>
          <w:sz w:val="18"/>
          <w:szCs w:val="18"/>
        </w:rPr>
        <w:t>cremento de</w:t>
      </w:r>
      <w:r w:rsidR="00E328A2">
        <w:rPr>
          <w:rFonts w:ascii="Arial" w:hAnsi="Arial" w:cs="Arial"/>
          <w:sz w:val="18"/>
          <w:szCs w:val="18"/>
        </w:rPr>
        <w:t xml:space="preserve"> $</w:t>
      </w:r>
      <w:r w:rsidR="005D0934">
        <w:rPr>
          <w:rFonts w:ascii="Arial" w:hAnsi="Arial" w:cs="Arial"/>
          <w:sz w:val="18"/>
          <w:szCs w:val="18"/>
        </w:rPr>
        <w:t>158,611</w:t>
      </w:r>
      <w:r w:rsidR="00E328A2">
        <w:rPr>
          <w:rFonts w:ascii="Arial" w:hAnsi="Arial" w:cs="Arial"/>
          <w:sz w:val="18"/>
          <w:szCs w:val="18"/>
        </w:rPr>
        <w:t>,3</w:t>
      </w:r>
      <w:r w:rsidR="005D0934">
        <w:rPr>
          <w:rFonts w:ascii="Arial" w:hAnsi="Arial" w:cs="Arial"/>
          <w:sz w:val="18"/>
          <w:szCs w:val="18"/>
        </w:rPr>
        <w:t>78</w:t>
      </w:r>
      <w:r>
        <w:rPr>
          <w:rFonts w:ascii="Arial" w:hAnsi="Arial" w:cs="Arial"/>
          <w:sz w:val="18"/>
          <w:szCs w:val="18"/>
        </w:rPr>
        <w:t xml:space="preserve"> respecto del ejercicio de 202</w:t>
      </w:r>
      <w:r w:rsidR="00E328A2">
        <w:rPr>
          <w:rFonts w:ascii="Arial" w:hAnsi="Arial" w:cs="Arial"/>
          <w:sz w:val="18"/>
          <w:szCs w:val="18"/>
        </w:rPr>
        <w:t>4</w:t>
      </w:r>
      <w:r w:rsidRPr="0073056A">
        <w:rPr>
          <w:rFonts w:ascii="Arial" w:hAnsi="Arial" w:cs="Arial"/>
          <w:sz w:val="18"/>
          <w:szCs w:val="18"/>
        </w:rPr>
        <w:t>.</w:t>
      </w:r>
    </w:p>
    <w:p w14:paraId="461C05CC" w14:textId="03AE56B4" w:rsidR="00E328A2" w:rsidRDefault="008C10B0" w:rsidP="008C10B0">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w:t>
      </w:r>
      <w:r w:rsidR="005D0934">
        <w:rPr>
          <w:rFonts w:ascii="Arial" w:hAnsi="Arial" w:cs="Arial"/>
          <w:sz w:val="18"/>
          <w:szCs w:val="18"/>
        </w:rPr>
        <w:t>9,5</w:t>
      </w:r>
      <w:r w:rsidR="00E328A2">
        <w:rPr>
          <w:rFonts w:ascii="Arial" w:hAnsi="Arial" w:cs="Arial"/>
          <w:sz w:val="18"/>
          <w:szCs w:val="18"/>
        </w:rPr>
        <w:t>7</w:t>
      </w:r>
      <w:r w:rsidR="005D0934">
        <w:rPr>
          <w:rFonts w:ascii="Arial" w:hAnsi="Arial" w:cs="Arial"/>
          <w:sz w:val="18"/>
          <w:szCs w:val="18"/>
        </w:rPr>
        <w:t>8</w:t>
      </w:r>
      <w:r w:rsidR="00E328A2">
        <w:rPr>
          <w:rFonts w:ascii="Arial" w:hAnsi="Arial" w:cs="Arial"/>
          <w:sz w:val="18"/>
          <w:szCs w:val="18"/>
        </w:rPr>
        <w:t>,28</w:t>
      </w:r>
      <w:r w:rsidR="005D0934">
        <w:rPr>
          <w:rFonts w:ascii="Arial" w:hAnsi="Arial" w:cs="Arial"/>
          <w:sz w:val="18"/>
          <w:szCs w:val="18"/>
        </w:rPr>
        <w:t>6</w:t>
      </w:r>
      <w:r w:rsidR="00E328A2">
        <w:rPr>
          <w:rFonts w:ascii="Arial" w:hAnsi="Arial" w:cs="Arial"/>
          <w:sz w:val="18"/>
          <w:szCs w:val="18"/>
        </w:rPr>
        <w:t>,</w:t>
      </w:r>
      <w:r w:rsidR="005D0934">
        <w:rPr>
          <w:rFonts w:ascii="Arial" w:hAnsi="Arial" w:cs="Arial"/>
          <w:sz w:val="18"/>
          <w:szCs w:val="18"/>
        </w:rPr>
        <w:t>173</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 xml:space="preserve">, </w:t>
      </w:r>
      <w:r w:rsidR="00E328A2">
        <w:rPr>
          <w:rFonts w:ascii="Arial" w:hAnsi="Arial" w:cs="Arial"/>
          <w:sz w:val="18"/>
          <w:szCs w:val="18"/>
        </w:rPr>
        <w:t xml:space="preserve">siendo </w:t>
      </w:r>
      <w:r w:rsidR="005D0934">
        <w:rPr>
          <w:rFonts w:ascii="Arial" w:hAnsi="Arial" w:cs="Arial"/>
          <w:sz w:val="18"/>
          <w:szCs w:val="18"/>
        </w:rPr>
        <w:t xml:space="preserve">menor </w:t>
      </w:r>
      <w:r w:rsidR="00E328A2">
        <w:rPr>
          <w:rFonts w:ascii="Arial" w:hAnsi="Arial" w:cs="Arial"/>
          <w:sz w:val="18"/>
          <w:szCs w:val="18"/>
        </w:rPr>
        <w:t xml:space="preserve">su importe </w:t>
      </w:r>
      <w:r w:rsidR="005D0934">
        <w:rPr>
          <w:rFonts w:ascii="Arial" w:hAnsi="Arial" w:cs="Arial"/>
          <w:sz w:val="18"/>
          <w:szCs w:val="18"/>
        </w:rPr>
        <w:t>respecto</w:t>
      </w:r>
      <w:r w:rsidR="00E328A2">
        <w:rPr>
          <w:rFonts w:ascii="Arial" w:hAnsi="Arial" w:cs="Arial"/>
          <w:sz w:val="18"/>
          <w:szCs w:val="18"/>
        </w:rPr>
        <w:t xml:space="preserve"> el</w:t>
      </w:r>
      <w:r>
        <w:rPr>
          <w:rFonts w:ascii="Arial" w:hAnsi="Arial" w:cs="Arial"/>
          <w:sz w:val="18"/>
          <w:szCs w:val="18"/>
        </w:rPr>
        <w:t xml:space="preserve"> ejercicio 202</w:t>
      </w:r>
      <w:r w:rsidR="00E328A2">
        <w:rPr>
          <w:rFonts w:ascii="Arial" w:hAnsi="Arial" w:cs="Arial"/>
          <w:sz w:val="18"/>
          <w:szCs w:val="18"/>
        </w:rPr>
        <w:t>4</w:t>
      </w:r>
      <w:r w:rsidR="005D0934">
        <w:rPr>
          <w:rFonts w:ascii="Arial" w:hAnsi="Arial" w:cs="Arial"/>
          <w:sz w:val="18"/>
          <w:szCs w:val="18"/>
        </w:rPr>
        <w:t xml:space="preserve"> en un $</w:t>
      </w:r>
      <w:r w:rsidR="003611A3">
        <w:rPr>
          <w:rFonts w:ascii="Arial" w:hAnsi="Arial" w:cs="Arial"/>
          <w:sz w:val="18"/>
          <w:szCs w:val="18"/>
        </w:rPr>
        <w:t>1,543,623,175.</w:t>
      </w:r>
    </w:p>
    <w:p w14:paraId="72DB026F" w14:textId="2BD787E1" w:rsidR="008C10B0" w:rsidRPr="0073056A" w:rsidRDefault="008C10B0" w:rsidP="008C10B0">
      <w:pPr>
        <w:tabs>
          <w:tab w:val="left" w:pos="284"/>
        </w:tabs>
        <w:ind w:left="284"/>
        <w:jc w:val="both"/>
        <w:rPr>
          <w:rFonts w:ascii="Arial" w:hAnsi="Arial" w:cs="Arial"/>
          <w:sz w:val="18"/>
          <w:szCs w:val="18"/>
        </w:rPr>
      </w:pPr>
      <w:r>
        <w:rPr>
          <w:rFonts w:ascii="Arial" w:hAnsi="Arial" w:cs="Arial"/>
          <w:sz w:val="18"/>
          <w:szCs w:val="18"/>
        </w:rPr>
        <w:lastRenderedPageBreak/>
        <w:t>El saldo de $2</w:t>
      </w:r>
      <w:r w:rsidR="003611A3">
        <w:rPr>
          <w:rFonts w:ascii="Arial" w:hAnsi="Arial" w:cs="Arial"/>
          <w:sz w:val="18"/>
          <w:szCs w:val="18"/>
        </w:rPr>
        <w:t>56</w:t>
      </w:r>
      <w:r>
        <w:rPr>
          <w:rFonts w:ascii="Arial" w:hAnsi="Arial" w:cs="Arial"/>
          <w:sz w:val="18"/>
          <w:szCs w:val="18"/>
        </w:rPr>
        <w:t>,</w:t>
      </w:r>
      <w:r w:rsidR="003611A3">
        <w:rPr>
          <w:rFonts w:ascii="Arial" w:hAnsi="Arial" w:cs="Arial"/>
          <w:sz w:val="18"/>
          <w:szCs w:val="18"/>
        </w:rPr>
        <w:t>887</w:t>
      </w:r>
      <w:r>
        <w:rPr>
          <w:rFonts w:ascii="Arial" w:hAnsi="Arial" w:cs="Arial"/>
          <w:sz w:val="18"/>
          <w:szCs w:val="18"/>
        </w:rPr>
        <w:t>,1</w:t>
      </w:r>
      <w:r w:rsidR="003611A3">
        <w:rPr>
          <w:rFonts w:ascii="Arial" w:hAnsi="Arial" w:cs="Arial"/>
          <w:sz w:val="18"/>
          <w:szCs w:val="18"/>
        </w:rPr>
        <w:t>97</w:t>
      </w:r>
      <w:r>
        <w:rPr>
          <w:rFonts w:ascii="Arial" w:hAnsi="Arial" w:cs="Arial"/>
          <w:sz w:val="18"/>
          <w:szCs w:val="18"/>
        </w:rPr>
        <w:t xml:space="preserve">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Pr>
          <w:rFonts w:ascii="Arial" w:hAnsi="Arial" w:cs="Arial"/>
          <w:sz w:val="18"/>
          <w:szCs w:val="18"/>
        </w:rPr>
        <w:t xml:space="preserve">, observándose </w:t>
      </w:r>
      <w:r w:rsidR="003611A3">
        <w:rPr>
          <w:rFonts w:ascii="Arial" w:hAnsi="Arial" w:cs="Arial"/>
          <w:sz w:val="18"/>
          <w:szCs w:val="18"/>
        </w:rPr>
        <w:t xml:space="preserve">una </w:t>
      </w:r>
      <w:r>
        <w:rPr>
          <w:rFonts w:ascii="Arial" w:hAnsi="Arial" w:cs="Arial"/>
          <w:sz w:val="18"/>
          <w:szCs w:val="18"/>
        </w:rPr>
        <w:t>variaci</w:t>
      </w:r>
      <w:r w:rsidR="003611A3">
        <w:rPr>
          <w:rFonts w:ascii="Arial" w:hAnsi="Arial" w:cs="Arial"/>
          <w:sz w:val="18"/>
          <w:szCs w:val="18"/>
        </w:rPr>
        <w:t>ón</w:t>
      </w:r>
      <w:r>
        <w:rPr>
          <w:rFonts w:ascii="Arial" w:hAnsi="Arial" w:cs="Arial"/>
          <w:sz w:val="18"/>
          <w:szCs w:val="18"/>
        </w:rPr>
        <w:t xml:space="preserve"> en relación al ejercicio 202</w:t>
      </w:r>
      <w:r w:rsidR="0090039A">
        <w:rPr>
          <w:rFonts w:ascii="Arial" w:hAnsi="Arial" w:cs="Arial"/>
          <w:sz w:val="18"/>
          <w:szCs w:val="18"/>
        </w:rPr>
        <w:t>4</w:t>
      </w:r>
      <w:r w:rsidR="003611A3">
        <w:rPr>
          <w:rFonts w:ascii="Arial" w:hAnsi="Arial" w:cs="Arial"/>
          <w:sz w:val="18"/>
          <w:szCs w:val="18"/>
        </w:rPr>
        <w:t xml:space="preserve"> por $9,359,017</w:t>
      </w:r>
      <w:r w:rsidRPr="00137E93">
        <w:rPr>
          <w:rFonts w:ascii="Arial" w:hAnsi="Arial" w:cs="Arial"/>
          <w:sz w:val="18"/>
          <w:szCs w:val="18"/>
        </w:rPr>
        <w:t>.</w:t>
      </w:r>
    </w:p>
    <w:p w14:paraId="382B8FAF" w14:textId="77777777" w:rsidR="008C10B0" w:rsidRDefault="008C10B0" w:rsidP="008C10B0">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14:paraId="7A33FBD8" w14:textId="77777777" w:rsidR="008C10B0" w:rsidRPr="00FB6E0E" w:rsidRDefault="008C10B0" w:rsidP="008C10B0">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14:paraId="3751946A"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14:paraId="4FB78597" w14:textId="77777777" w:rsidR="008C10B0" w:rsidRPr="0073056A" w:rsidRDefault="008C10B0" w:rsidP="008C10B0">
      <w:pPr>
        <w:pStyle w:val="ROMANOS"/>
        <w:tabs>
          <w:tab w:val="clear" w:pos="720"/>
          <w:tab w:val="left" w:pos="284"/>
        </w:tabs>
        <w:spacing w:after="0" w:line="276" w:lineRule="auto"/>
        <w:ind w:left="284" w:firstLine="0"/>
        <w:rPr>
          <w:b/>
          <w:lang w:val="es-MX"/>
        </w:rPr>
      </w:pPr>
      <w:r w:rsidRPr="0073056A">
        <w:rPr>
          <w:b/>
          <w:lang w:val="es-MX"/>
        </w:rPr>
        <w:t>Otros Activos</w:t>
      </w:r>
    </w:p>
    <w:p w14:paraId="4E8CDEF3" w14:textId="24113ADD" w:rsidR="008C10B0" w:rsidRPr="0073056A"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Al mes de </w:t>
      </w:r>
      <w:r w:rsidR="003611A3">
        <w:rPr>
          <w:rFonts w:ascii="Arial" w:hAnsi="Arial" w:cs="Arial"/>
          <w:sz w:val="18"/>
          <w:szCs w:val="18"/>
        </w:rPr>
        <w:t>septiembre</w:t>
      </w:r>
      <w:r>
        <w:rPr>
          <w:rFonts w:ascii="Arial" w:hAnsi="Arial" w:cs="Arial"/>
          <w:sz w:val="18"/>
          <w:szCs w:val="18"/>
        </w:rPr>
        <w:t xml:space="preserve"> del ejercicio 202</w:t>
      </w:r>
      <w:r w:rsidR="0090039A">
        <w:rPr>
          <w:rFonts w:ascii="Arial" w:hAnsi="Arial" w:cs="Arial"/>
          <w:sz w:val="18"/>
          <w:szCs w:val="18"/>
        </w:rPr>
        <w:t>5</w:t>
      </w:r>
      <w:r>
        <w:rPr>
          <w:rFonts w:ascii="Arial" w:hAnsi="Arial" w:cs="Arial"/>
          <w:sz w:val="18"/>
          <w:szCs w:val="18"/>
        </w:rPr>
        <w:t>, el Poder Ejecutivo no cuenta con Otros Activos.</w:t>
      </w:r>
    </w:p>
    <w:p w14:paraId="0D51FC1A" w14:textId="77777777" w:rsidR="008C10B0" w:rsidRPr="0073056A" w:rsidRDefault="008C10B0" w:rsidP="008C10B0">
      <w:pPr>
        <w:pStyle w:val="ROMANOS"/>
        <w:tabs>
          <w:tab w:val="clear" w:pos="720"/>
          <w:tab w:val="left" w:pos="284"/>
        </w:tabs>
        <w:spacing w:after="0" w:line="276" w:lineRule="auto"/>
        <w:ind w:left="284" w:firstLine="0"/>
        <w:rPr>
          <w:b/>
          <w:lang w:val="es-MX"/>
        </w:rPr>
      </w:pPr>
      <w:r w:rsidRPr="0073056A">
        <w:rPr>
          <w:b/>
          <w:lang w:val="es-MX"/>
        </w:rPr>
        <w:t>Pasivo</w:t>
      </w:r>
    </w:p>
    <w:p w14:paraId="1D413389" w14:textId="77777777" w:rsidR="008C10B0" w:rsidRPr="0073056A" w:rsidRDefault="008C10B0" w:rsidP="008C10B0">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14:paraId="6962CA2F" w14:textId="77777777" w:rsidR="008C10B0" w:rsidRPr="0073056A" w:rsidRDefault="008C10B0" w:rsidP="008C10B0">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14:paraId="0DF36EDA" w14:textId="70B7729D"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El saldo de $</w:t>
      </w:r>
      <w:r w:rsidR="0090039A">
        <w:rPr>
          <w:rFonts w:ascii="Arial" w:hAnsi="Arial" w:cs="Arial"/>
          <w:sz w:val="18"/>
          <w:szCs w:val="18"/>
        </w:rPr>
        <w:t>2</w:t>
      </w:r>
      <w:r>
        <w:rPr>
          <w:rFonts w:ascii="Arial" w:hAnsi="Arial" w:cs="Arial"/>
          <w:sz w:val="18"/>
          <w:szCs w:val="18"/>
        </w:rPr>
        <w:t>,</w:t>
      </w:r>
      <w:r w:rsidR="003611A3">
        <w:rPr>
          <w:rFonts w:ascii="Arial" w:hAnsi="Arial" w:cs="Arial"/>
          <w:sz w:val="18"/>
          <w:szCs w:val="18"/>
        </w:rPr>
        <w:t>001</w:t>
      </w:r>
      <w:r>
        <w:rPr>
          <w:rFonts w:ascii="Arial" w:hAnsi="Arial" w:cs="Arial"/>
          <w:sz w:val="18"/>
          <w:szCs w:val="18"/>
        </w:rPr>
        <w:t>,</w:t>
      </w:r>
      <w:r w:rsidR="003611A3">
        <w:rPr>
          <w:rFonts w:ascii="Arial" w:hAnsi="Arial" w:cs="Arial"/>
          <w:sz w:val="18"/>
          <w:szCs w:val="18"/>
        </w:rPr>
        <w:t>165</w:t>
      </w:r>
      <w:r>
        <w:rPr>
          <w:rFonts w:ascii="Arial" w:hAnsi="Arial" w:cs="Arial"/>
          <w:sz w:val="18"/>
          <w:szCs w:val="18"/>
        </w:rPr>
        <w:t>,</w:t>
      </w:r>
      <w:r w:rsidR="003611A3">
        <w:rPr>
          <w:rFonts w:ascii="Arial" w:hAnsi="Arial" w:cs="Arial"/>
          <w:sz w:val="18"/>
          <w:szCs w:val="18"/>
        </w:rPr>
        <w:t>696</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r>
        <w:rPr>
          <w:rFonts w:ascii="Arial" w:hAnsi="Arial" w:cs="Arial"/>
          <w:sz w:val="18"/>
          <w:szCs w:val="18"/>
        </w:rPr>
        <w:t xml:space="preserve"> En este rubro se tiene un </w:t>
      </w:r>
      <w:r w:rsidR="0090039A">
        <w:rPr>
          <w:rFonts w:ascii="Arial" w:hAnsi="Arial" w:cs="Arial"/>
          <w:sz w:val="18"/>
          <w:szCs w:val="18"/>
        </w:rPr>
        <w:t>de</w:t>
      </w:r>
      <w:r>
        <w:rPr>
          <w:rFonts w:ascii="Arial" w:hAnsi="Arial" w:cs="Arial"/>
          <w:sz w:val="18"/>
          <w:szCs w:val="18"/>
        </w:rPr>
        <w:t xml:space="preserve">cremento del </w:t>
      </w:r>
      <w:r w:rsidR="003611A3">
        <w:rPr>
          <w:rFonts w:ascii="Arial" w:hAnsi="Arial" w:cs="Arial"/>
          <w:sz w:val="18"/>
          <w:szCs w:val="18"/>
        </w:rPr>
        <w:t>34</w:t>
      </w:r>
      <w:r>
        <w:rPr>
          <w:rFonts w:ascii="Arial" w:hAnsi="Arial" w:cs="Arial"/>
          <w:sz w:val="18"/>
          <w:szCs w:val="18"/>
        </w:rPr>
        <w:t>% respecto del ejercicio 202</w:t>
      </w:r>
      <w:r w:rsidR="0090039A">
        <w:rPr>
          <w:rFonts w:ascii="Arial" w:hAnsi="Arial" w:cs="Arial"/>
          <w:sz w:val="18"/>
          <w:szCs w:val="18"/>
        </w:rPr>
        <w:t>4</w:t>
      </w:r>
      <w:r>
        <w:rPr>
          <w:rFonts w:ascii="Arial" w:hAnsi="Arial" w:cs="Arial"/>
          <w:sz w:val="18"/>
          <w:szCs w:val="18"/>
        </w:rPr>
        <w:t>.</w:t>
      </w:r>
    </w:p>
    <w:p w14:paraId="4EF06BC0" w14:textId="77777777" w:rsidR="008C10B0" w:rsidRPr="0073056A" w:rsidRDefault="008C10B0" w:rsidP="008C10B0">
      <w:pPr>
        <w:pStyle w:val="INCISO"/>
        <w:tabs>
          <w:tab w:val="left" w:pos="284"/>
        </w:tabs>
        <w:spacing w:after="0" w:line="276" w:lineRule="auto"/>
        <w:ind w:left="284" w:firstLine="0"/>
        <w:rPr>
          <w:b/>
          <w:smallCaps/>
        </w:rPr>
      </w:pPr>
      <w:r w:rsidRPr="00891820">
        <w:rPr>
          <w:b/>
          <w:smallCaps/>
        </w:rPr>
        <w:t>III)</w:t>
      </w:r>
      <w:r w:rsidRPr="00891820">
        <w:rPr>
          <w:b/>
          <w:smallCaps/>
        </w:rPr>
        <w:tab/>
        <w:t>Notas al Estado de Variación en la Hacienda Pública</w:t>
      </w:r>
    </w:p>
    <w:p w14:paraId="78627452" w14:textId="77777777" w:rsidR="008C10B0" w:rsidRPr="0073056A"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14:paraId="74156A3E" w14:textId="77777777" w:rsidR="008C10B0" w:rsidRDefault="008C10B0" w:rsidP="008C10B0">
      <w:pPr>
        <w:tabs>
          <w:tab w:val="left" w:pos="284"/>
        </w:tabs>
        <w:spacing w:after="0"/>
        <w:ind w:left="284"/>
        <w:jc w:val="both"/>
        <w:rPr>
          <w:rFonts w:ascii="Arial" w:hAnsi="Arial" w:cs="Arial"/>
          <w:b/>
          <w:sz w:val="18"/>
          <w:szCs w:val="18"/>
        </w:rPr>
      </w:pPr>
    </w:p>
    <w:p w14:paraId="7499C17C"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Pr>
          <w:rFonts w:ascii="Arial" w:hAnsi="Arial" w:cs="Arial"/>
          <w:b/>
          <w:sz w:val="18"/>
          <w:szCs w:val="18"/>
        </w:rPr>
        <w:t>Generado</w:t>
      </w:r>
    </w:p>
    <w:p w14:paraId="49A0A0B7" w14:textId="677E7AE7" w:rsidR="008C10B0" w:rsidRDefault="008C10B0" w:rsidP="008C10B0">
      <w:pPr>
        <w:ind w:left="284"/>
        <w:jc w:val="both"/>
        <w:rPr>
          <w:rFonts w:ascii="Arial" w:eastAsia="Times New Roman" w:hAnsi="Arial" w:cs="Arial"/>
          <w:bCs/>
          <w:sz w:val="18"/>
          <w:szCs w:val="18"/>
          <w:lang w:eastAsia="es-MX"/>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mes de </w:t>
      </w:r>
      <w:r w:rsidR="003611A3">
        <w:rPr>
          <w:rFonts w:ascii="Arial" w:hAnsi="Arial" w:cs="Arial"/>
          <w:sz w:val="18"/>
          <w:szCs w:val="18"/>
        </w:rPr>
        <w:t>septiembre</w:t>
      </w:r>
      <w:r>
        <w:rPr>
          <w:rFonts w:ascii="Arial" w:hAnsi="Arial" w:cs="Arial"/>
          <w:sz w:val="18"/>
          <w:szCs w:val="18"/>
        </w:rPr>
        <w:t xml:space="preserve"> de 202</w:t>
      </w:r>
      <w:r w:rsidR="00750AF2">
        <w:rPr>
          <w:rFonts w:ascii="Arial" w:hAnsi="Arial" w:cs="Arial"/>
          <w:sz w:val="18"/>
          <w:szCs w:val="18"/>
        </w:rPr>
        <w:t>5</w:t>
      </w:r>
      <w:r>
        <w:rPr>
          <w:rFonts w:ascii="Arial" w:hAnsi="Arial" w:cs="Arial"/>
          <w:sz w:val="18"/>
          <w:szCs w:val="18"/>
        </w:rPr>
        <w:t xml:space="preserve"> </w:t>
      </w:r>
      <w:r w:rsidRPr="0073056A">
        <w:rPr>
          <w:rFonts w:ascii="Arial" w:hAnsi="Arial" w:cs="Arial"/>
          <w:sz w:val="18"/>
          <w:szCs w:val="18"/>
        </w:rPr>
        <w:t>es por la cantidad de $</w:t>
      </w:r>
      <w:r w:rsidR="003611A3">
        <w:rPr>
          <w:rFonts w:ascii="Arial" w:hAnsi="Arial" w:cs="Arial"/>
          <w:sz w:val="18"/>
          <w:szCs w:val="18"/>
        </w:rPr>
        <w:t>3</w:t>
      </w:r>
      <w:r>
        <w:rPr>
          <w:rFonts w:ascii="Arial" w:hAnsi="Arial" w:cs="Arial"/>
          <w:sz w:val="18"/>
          <w:szCs w:val="18"/>
        </w:rPr>
        <w:t>,</w:t>
      </w:r>
      <w:r w:rsidR="003611A3">
        <w:rPr>
          <w:rFonts w:ascii="Arial" w:hAnsi="Arial" w:cs="Arial"/>
          <w:sz w:val="18"/>
          <w:szCs w:val="18"/>
        </w:rPr>
        <w:t>471</w:t>
      </w:r>
      <w:r>
        <w:rPr>
          <w:rFonts w:ascii="Arial" w:eastAsia="Times New Roman" w:hAnsi="Arial" w:cs="Arial"/>
          <w:bCs/>
          <w:sz w:val="18"/>
          <w:szCs w:val="18"/>
          <w:lang w:eastAsia="es-MX"/>
        </w:rPr>
        <w:t>,</w:t>
      </w:r>
      <w:r w:rsidR="003611A3">
        <w:rPr>
          <w:rFonts w:ascii="Arial" w:eastAsia="Times New Roman" w:hAnsi="Arial" w:cs="Arial"/>
          <w:bCs/>
          <w:sz w:val="18"/>
          <w:szCs w:val="18"/>
          <w:lang w:eastAsia="es-MX"/>
        </w:rPr>
        <w:t>130</w:t>
      </w:r>
      <w:r>
        <w:rPr>
          <w:rFonts w:ascii="Arial" w:eastAsia="Times New Roman" w:hAnsi="Arial" w:cs="Arial"/>
          <w:bCs/>
          <w:sz w:val="18"/>
          <w:szCs w:val="18"/>
          <w:lang w:eastAsia="es-MX"/>
        </w:rPr>
        <w:t>,</w:t>
      </w:r>
      <w:r w:rsidR="003611A3">
        <w:rPr>
          <w:rFonts w:ascii="Arial" w:eastAsia="Times New Roman" w:hAnsi="Arial" w:cs="Arial"/>
          <w:bCs/>
          <w:sz w:val="18"/>
          <w:szCs w:val="18"/>
          <w:lang w:eastAsia="es-MX"/>
        </w:rPr>
        <w:t>571</w:t>
      </w:r>
      <w:r>
        <w:rPr>
          <w:rFonts w:ascii="Arial" w:eastAsia="Times New Roman" w:hAnsi="Arial" w:cs="Arial"/>
          <w:bCs/>
          <w:sz w:val="18"/>
          <w:szCs w:val="18"/>
          <w:lang w:eastAsia="es-MX"/>
        </w:rPr>
        <w:t>.</w:t>
      </w:r>
    </w:p>
    <w:p w14:paraId="32427143" w14:textId="77777777" w:rsidR="008C10B0" w:rsidRDefault="008C10B0" w:rsidP="008C10B0">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14:paraId="39FFD694" w14:textId="77777777" w:rsidR="008C10B0" w:rsidRDefault="008C10B0" w:rsidP="008C10B0">
      <w:pPr>
        <w:pStyle w:val="INCISO"/>
        <w:tabs>
          <w:tab w:val="left" w:pos="284"/>
        </w:tabs>
        <w:spacing w:after="0" w:line="276" w:lineRule="auto"/>
        <w:ind w:left="284" w:firstLine="0"/>
        <w:rPr>
          <w:b/>
          <w:smallCaps/>
        </w:rPr>
      </w:pPr>
    </w:p>
    <w:p w14:paraId="26D7D14C" w14:textId="77777777" w:rsidR="008C10B0" w:rsidRPr="0073056A" w:rsidRDefault="008C10B0" w:rsidP="008C10B0">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p>
    <w:p w14:paraId="408508CE" w14:textId="168950AA" w:rsidR="008C10B0" w:rsidRPr="005C02A4" w:rsidRDefault="008C10B0" w:rsidP="008C10B0">
      <w:pPr>
        <w:pStyle w:val="ROMANOS"/>
        <w:tabs>
          <w:tab w:val="clear" w:pos="720"/>
          <w:tab w:val="left" w:pos="284"/>
        </w:tabs>
        <w:spacing w:after="0" w:line="276" w:lineRule="auto"/>
        <w:ind w:left="284" w:firstLine="0"/>
        <w:rPr>
          <w:lang w:val="es-MX"/>
        </w:rPr>
      </w:pPr>
      <w:r>
        <w:rPr>
          <w:lang w:val="es-MX"/>
        </w:rPr>
        <w:t>Muestra l</w:t>
      </w:r>
      <w:r w:rsidRPr="005C02A4">
        <w:rPr>
          <w:lang w:val="es-MX"/>
        </w:rPr>
        <w:t>a información sobre los cambios en el efectivo y equivalentes</w:t>
      </w:r>
      <w:r>
        <w:rPr>
          <w:lang w:val="es-MX"/>
        </w:rPr>
        <w:t>, considerando que s</w:t>
      </w:r>
      <w:r w:rsidRPr="005C02A4">
        <w:rPr>
          <w:lang w:val="es-MX"/>
        </w:rPr>
        <w:t>on inversiones a corto plazo de gran liquidez que se mantienen para cumplir los compromisos de pago a corto plazo</w:t>
      </w:r>
      <w:r>
        <w:rPr>
          <w:lang w:val="es-MX"/>
        </w:rPr>
        <w:t xml:space="preserve"> a cargo del Poder Ejecutivo</w:t>
      </w:r>
      <w:r w:rsidRPr="005C02A4">
        <w:rPr>
          <w:lang w:val="es-MX"/>
        </w:rPr>
        <w:t xml:space="preserve"> que se informa mostrando por separado los cambios según proceda</w:t>
      </w:r>
      <w:r>
        <w:rPr>
          <w:lang w:val="es-MX"/>
        </w:rPr>
        <w:t>, reflejando un importe de $</w:t>
      </w:r>
      <w:r w:rsidR="003611A3">
        <w:rPr>
          <w:lang w:val="es-MX"/>
        </w:rPr>
        <w:t>1,841</w:t>
      </w:r>
      <w:r w:rsidR="00AA526E">
        <w:rPr>
          <w:lang w:val="es-MX"/>
        </w:rPr>
        <w:t>,</w:t>
      </w:r>
      <w:r w:rsidR="003611A3">
        <w:rPr>
          <w:lang w:val="es-MX"/>
        </w:rPr>
        <w:t>729</w:t>
      </w:r>
      <w:r w:rsidR="00AA526E">
        <w:rPr>
          <w:lang w:val="es-MX"/>
        </w:rPr>
        <w:t>,</w:t>
      </w:r>
      <w:r w:rsidR="003611A3">
        <w:rPr>
          <w:lang w:val="es-MX"/>
        </w:rPr>
        <w:t>098</w:t>
      </w:r>
      <w:r>
        <w:rPr>
          <w:lang w:val="es-MX"/>
        </w:rPr>
        <w:t xml:space="preserve"> mismo que se integra por:</w:t>
      </w:r>
    </w:p>
    <w:p w14:paraId="4AAFA984" w14:textId="77777777" w:rsidR="008C10B0" w:rsidRDefault="008C10B0" w:rsidP="008C10B0">
      <w:pPr>
        <w:pStyle w:val="ROMANOS"/>
        <w:tabs>
          <w:tab w:val="clear" w:pos="720"/>
          <w:tab w:val="left" w:pos="284"/>
        </w:tabs>
        <w:spacing w:after="0" w:line="276" w:lineRule="auto"/>
        <w:ind w:left="284" w:firstLine="0"/>
        <w:rPr>
          <w:b/>
          <w:lang w:val="es-MX"/>
        </w:rPr>
      </w:pPr>
    </w:p>
    <w:p w14:paraId="50070F42" w14:textId="77777777" w:rsidR="008C10B0" w:rsidRPr="005C02A4" w:rsidRDefault="008C10B0" w:rsidP="008C10B0">
      <w:pPr>
        <w:pStyle w:val="ROMANOS"/>
        <w:tabs>
          <w:tab w:val="clear" w:pos="720"/>
          <w:tab w:val="left" w:pos="284"/>
        </w:tabs>
        <w:spacing w:after="0" w:line="276" w:lineRule="auto"/>
        <w:ind w:left="284" w:firstLine="0"/>
        <w:rPr>
          <w:b/>
          <w:lang w:val="es-MX"/>
        </w:rPr>
      </w:pPr>
      <w:r w:rsidRPr="005C02A4">
        <w:rPr>
          <w:b/>
          <w:lang w:val="es-MX"/>
        </w:rPr>
        <w:t>Actividades de Operación.</w:t>
      </w:r>
    </w:p>
    <w:p w14:paraId="39E13CCE" w14:textId="2E1B211D" w:rsidR="008C10B0" w:rsidRDefault="008C10B0" w:rsidP="008C10B0">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w:t>
      </w:r>
      <w:r w:rsidR="003611A3">
        <w:rPr>
          <w:lang w:val="es-MX"/>
        </w:rPr>
        <w:t>3</w:t>
      </w:r>
      <w:r>
        <w:rPr>
          <w:lang w:val="es-MX"/>
        </w:rPr>
        <w:t>,</w:t>
      </w:r>
      <w:r w:rsidR="003611A3">
        <w:rPr>
          <w:lang w:val="es-MX"/>
        </w:rPr>
        <w:t>64</w:t>
      </w:r>
      <w:r w:rsidR="00AA526E">
        <w:rPr>
          <w:lang w:val="es-MX"/>
        </w:rPr>
        <w:t>8</w:t>
      </w:r>
      <w:r>
        <w:rPr>
          <w:lang w:val="es-MX"/>
        </w:rPr>
        <w:t>,</w:t>
      </w:r>
      <w:r w:rsidR="003611A3">
        <w:rPr>
          <w:lang w:val="es-MX"/>
        </w:rPr>
        <w:t>840</w:t>
      </w:r>
      <w:r>
        <w:rPr>
          <w:lang w:val="es-MX"/>
        </w:rPr>
        <w:t>,</w:t>
      </w:r>
      <w:r w:rsidR="003611A3">
        <w:rPr>
          <w:lang w:val="es-MX"/>
        </w:rPr>
        <w:t>701</w:t>
      </w:r>
      <w:r>
        <w:rPr>
          <w:lang w:val="es-MX"/>
        </w:rPr>
        <w:t>.</w:t>
      </w:r>
    </w:p>
    <w:p w14:paraId="10E67EE9" w14:textId="77777777" w:rsidR="008C10B0" w:rsidRDefault="008C10B0" w:rsidP="008C10B0">
      <w:pPr>
        <w:pStyle w:val="ROMANOS"/>
        <w:tabs>
          <w:tab w:val="clear" w:pos="720"/>
          <w:tab w:val="left" w:pos="284"/>
        </w:tabs>
        <w:spacing w:after="0" w:line="276" w:lineRule="auto"/>
        <w:ind w:left="284" w:firstLine="0"/>
        <w:rPr>
          <w:b/>
          <w:lang w:val="es-MX"/>
        </w:rPr>
      </w:pPr>
    </w:p>
    <w:p w14:paraId="759F5C7A" w14:textId="77777777" w:rsidR="008C10B0" w:rsidRPr="00D71A33" w:rsidRDefault="008C10B0" w:rsidP="008C10B0">
      <w:pPr>
        <w:pStyle w:val="ROMANOS"/>
        <w:tabs>
          <w:tab w:val="clear" w:pos="720"/>
          <w:tab w:val="left" w:pos="284"/>
        </w:tabs>
        <w:spacing w:after="0" w:line="276" w:lineRule="auto"/>
        <w:ind w:left="284" w:firstLine="0"/>
        <w:rPr>
          <w:b/>
          <w:lang w:val="es-MX"/>
        </w:rPr>
      </w:pPr>
      <w:r w:rsidRPr="00D71A33">
        <w:rPr>
          <w:b/>
          <w:lang w:val="es-MX"/>
        </w:rPr>
        <w:t>Actividades de Inversión</w:t>
      </w:r>
    </w:p>
    <w:p w14:paraId="7DAB981F" w14:textId="087FB46A" w:rsidR="008C10B0" w:rsidRDefault="008C10B0" w:rsidP="008C10B0">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del mes de </w:t>
      </w:r>
      <w:r w:rsidR="003611A3">
        <w:rPr>
          <w:lang w:val="es-MX"/>
        </w:rPr>
        <w:t>septiembre</w:t>
      </w:r>
      <w:r>
        <w:rPr>
          <w:lang w:val="es-MX"/>
        </w:rPr>
        <w:t xml:space="preserve"> un importe de </w:t>
      </w:r>
      <w:r w:rsidRPr="004466A7">
        <w:rPr>
          <w:lang w:val="es-MX"/>
        </w:rPr>
        <w:t>$</w:t>
      </w:r>
      <w:r w:rsidR="00AA526E">
        <w:rPr>
          <w:lang w:val="es-MX"/>
        </w:rPr>
        <w:t>1</w:t>
      </w:r>
      <w:r>
        <w:rPr>
          <w:lang w:val="es-MX"/>
        </w:rPr>
        <w:t>,</w:t>
      </w:r>
      <w:r w:rsidR="003611A3">
        <w:rPr>
          <w:lang w:val="es-MX"/>
        </w:rPr>
        <w:t>590</w:t>
      </w:r>
      <w:r>
        <w:rPr>
          <w:lang w:val="es-MX"/>
        </w:rPr>
        <w:t>,</w:t>
      </w:r>
      <w:r w:rsidR="003611A3">
        <w:rPr>
          <w:lang w:val="es-MX"/>
        </w:rPr>
        <w:t>567,006</w:t>
      </w:r>
      <w:r>
        <w:rPr>
          <w:lang w:val="es-MX"/>
        </w:rPr>
        <w:t>.</w:t>
      </w:r>
    </w:p>
    <w:p w14:paraId="3AF7DB5E" w14:textId="77777777" w:rsidR="008C10B0" w:rsidRDefault="008C10B0" w:rsidP="008C10B0">
      <w:pPr>
        <w:pStyle w:val="ROMANOS"/>
        <w:tabs>
          <w:tab w:val="clear" w:pos="720"/>
          <w:tab w:val="left" w:pos="284"/>
        </w:tabs>
        <w:spacing w:after="0" w:line="276" w:lineRule="auto"/>
        <w:ind w:left="284" w:firstLine="0"/>
        <w:rPr>
          <w:b/>
          <w:lang w:val="es-MX"/>
        </w:rPr>
      </w:pPr>
    </w:p>
    <w:p w14:paraId="51A77399" w14:textId="77777777" w:rsidR="008C10B0" w:rsidRPr="00D71A33" w:rsidRDefault="008C10B0" w:rsidP="008C10B0">
      <w:pPr>
        <w:pStyle w:val="ROMANOS"/>
        <w:tabs>
          <w:tab w:val="clear" w:pos="720"/>
          <w:tab w:val="left" w:pos="284"/>
        </w:tabs>
        <w:spacing w:after="0" w:line="276" w:lineRule="auto"/>
        <w:ind w:left="284" w:firstLine="0"/>
        <w:rPr>
          <w:b/>
          <w:lang w:val="es-MX"/>
        </w:rPr>
      </w:pPr>
      <w:r w:rsidRPr="00D71A33">
        <w:rPr>
          <w:b/>
          <w:lang w:val="es-MX"/>
        </w:rPr>
        <w:t>Actividades de Financia</w:t>
      </w:r>
      <w:r>
        <w:rPr>
          <w:b/>
          <w:lang w:val="es-MX"/>
        </w:rPr>
        <w:t>miento</w:t>
      </w:r>
    </w:p>
    <w:p w14:paraId="200A953E" w14:textId="3253F4E1" w:rsidR="008C10B0" w:rsidRDefault="008C10B0" w:rsidP="008C10B0">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 xml:space="preserve">también </w:t>
      </w:r>
      <w:r>
        <w:rPr>
          <w:lang w:val="es-MX"/>
        </w:rPr>
        <w:lastRenderedPageBreak/>
        <w:t>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 xml:space="preserve">refleja un saldo acumulado al </w:t>
      </w:r>
      <w:r>
        <w:rPr>
          <w:lang w:val="es-MX"/>
        </w:rPr>
        <w:t>3</w:t>
      </w:r>
      <w:r w:rsidR="003611A3">
        <w:rPr>
          <w:lang w:val="es-MX"/>
        </w:rPr>
        <w:t>0</w:t>
      </w:r>
      <w:r w:rsidRPr="00DA18AC">
        <w:rPr>
          <w:lang w:val="es-MX"/>
        </w:rPr>
        <w:t xml:space="preserve"> de </w:t>
      </w:r>
      <w:r w:rsidR="003611A3">
        <w:rPr>
          <w:lang w:val="es-MX"/>
        </w:rPr>
        <w:t>septiembre</w:t>
      </w:r>
      <w:r w:rsidRPr="00DA18AC">
        <w:rPr>
          <w:lang w:val="es-MX"/>
        </w:rPr>
        <w:t xml:space="preserve"> de 20</w:t>
      </w:r>
      <w:r>
        <w:rPr>
          <w:lang w:val="es-MX"/>
        </w:rPr>
        <w:t>2</w:t>
      </w:r>
      <w:r w:rsidR="00AA526E">
        <w:rPr>
          <w:lang w:val="es-MX"/>
        </w:rPr>
        <w:t>5</w:t>
      </w:r>
      <w:r w:rsidRPr="00DA18AC">
        <w:rPr>
          <w:lang w:val="es-MX"/>
        </w:rPr>
        <w:t xml:space="preserve"> de </w:t>
      </w:r>
      <w:r w:rsidR="00AA526E">
        <w:rPr>
          <w:lang w:val="es-MX"/>
        </w:rPr>
        <w:t>-</w:t>
      </w:r>
      <w:r w:rsidRPr="00DA18AC">
        <w:rPr>
          <w:lang w:val="es-MX"/>
        </w:rPr>
        <w:t>$</w:t>
      </w:r>
      <w:r w:rsidR="003611A3">
        <w:rPr>
          <w:lang w:val="es-MX"/>
        </w:rPr>
        <w:t>3,397</w:t>
      </w:r>
      <w:r>
        <w:rPr>
          <w:lang w:val="es-MX"/>
        </w:rPr>
        <w:t>,</w:t>
      </w:r>
      <w:r w:rsidR="00AA526E">
        <w:rPr>
          <w:lang w:val="es-MX"/>
        </w:rPr>
        <w:t>67</w:t>
      </w:r>
      <w:r w:rsidR="003611A3">
        <w:rPr>
          <w:lang w:val="es-MX"/>
        </w:rPr>
        <w:t>8</w:t>
      </w:r>
      <w:r>
        <w:rPr>
          <w:lang w:val="es-MX"/>
        </w:rPr>
        <w:t>,</w:t>
      </w:r>
      <w:r w:rsidR="00AA526E">
        <w:rPr>
          <w:lang w:val="es-MX"/>
        </w:rPr>
        <w:t>6</w:t>
      </w:r>
      <w:r w:rsidR="003611A3">
        <w:rPr>
          <w:lang w:val="es-MX"/>
        </w:rPr>
        <w:t>09</w:t>
      </w:r>
      <w:r w:rsidRPr="00DA18AC">
        <w:rPr>
          <w:lang w:val="es-MX"/>
        </w:rPr>
        <w:t>.</w:t>
      </w:r>
    </w:p>
    <w:p w14:paraId="510C2B23" w14:textId="77777777" w:rsidR="008C10B0" w:rsidRDefault="008C10B0" w:rsidP="008C10B0">
      <w:pPr>
        <w:pStyle w:val="ROMANOS"/>
        <w:tabs>
          <w:tab w:val="clear" w:pos="720"/>
          <w:tab w:val="left" w:pos="284"/>
        </w:tabs>
        <w:spacing w:after="0" w:line="276" w:lineRule="auto"/>
        <w:ind w:left="284" w:firstLine="0"/>
        <w:rPr>
          <w:lang w:val="es-MX"/>
        </w:rPr>
      </w:pPr>
    </w:p>
    <w:p w14:paraId="5ADFBFB8" w14:textId="77777777" w:rsidR="008C10B0" w:rsidRPr="002640DB" w:rsidRDefault="008C10B0" w:rsidP="008C10B0">
      <w:pPr>
        <w:numPr>
          <w:ilvl w:val="0"/>
          <w:numId w:val="7"/>
        </w:numPr>
        <w:tabs>
          <w:tab w:val="left" w:pos="0"/>
        </w:tabs>
        <w:spacing w:after="0" w:line="240" w:lineRule="exact"/>
        <w:mirrorIndents/>
        <w:jc w:val="both"/>
        <w:rPr>
          <w:rFonts w:ascii="Arial" w:eastAsia="Times New Roman" w:hAnsi="Arial" w:cs="Arial"/>
          <w:sz w:val="18"/>
          <w:szCs w:val="18"/>
          <w:lang w:eastAsia="es-ES"/>
        </w:rPr>
      </w:pPr>
      <w:r w:rsidRPr="002640DB">
        <w:rPr>
          <w:rFonts w:ascii="Arial" w:eastAsia="Times New Roman" w:hAnsi="Arial" w:cs="Arial"/>
          <w:sz w:val="18"/>
          <w:szCs w:val="18"/>
          <w:lang w:eastAsia="es-ES"/>
        </w:rPr>
        <w:t>El análisis de los saldos inicial y final que figuran en la última parte del Estado de Flujo de Efectivo en la cuenta de efectivo y equivalentes es como sigue:</w:t>
      </w:r>
    </w:p>
    <w:p w14:paraId="54CAE629" w14:textId="77777777" w:rsidR="008C10B0" w:rsidRDefault="008C10B0" w:rsidP="008C10B0">
      <w:pPr>
        <w:pStyle w:val="ROMANOS"/>
        <w:tabs>
          <w:tab w:val="clear" w:pos="720"/>
          <w:tab w:val="left" w:pos="284"/>
        </w:tabs>
        <w:spacing w:after="0" w:line="276" w:lineRule="auto"/>
        <w:ind w:left="284" w:firstLine="0"/>
        <w:rPr>
          <w:lang w:val="es-MX"/>
        </w:rPr>
      </w:pPr>
    </w:p>
    <w:tbl>
      <w:tblPr>
        <w:tblW w:w="0" w:type="auto"/>
        <w:jc w:val="center"/>
        <w:tblLayout w:type="fixed"/>
        <w:tblLook w:val="0000" w:firstRow="0" w:lastRow="0" w:firstColumn="0" w:lastColumn="0" w:noHBand="0" w:noVBand="0"/>
      </w:tblPr>
      <w:tblGrid>
        <w:gridCol w:w="4450"/>
        <w:gridCol w:w="1393"/>
        <w:gridCol w:w="1708"/>
      </w:tblGrid>
      <w:tr w:rsidR="008C10B0" w:rsidRPr="00450621" w14:paraId="6D53A844"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06EC9774"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Efectivo y Equivalentes</w:t>
            </w:r>
          </w:p>
        </w:tc>
        <w:tc>
          <w:tcPr>
            <w:tcW w:w="1393" w:type="dxa"/>
            <w:tcBorders>
              <w:top w:val="single" w:sz="6" w:space="0" w:color="auto"/>
              <w:left w:val="single" w:sz="6" w:space="0" w:color="auto"/>
              <w:bottom w:val="single" w:sz="6" w:space="0" w:color="auto"/>
              <w:right w:val="single" w:sz="6" w:space="0" w:color="auto"/>
            </w:tcBorders>
          </w:tcPr>
          <w:p w14:paraId="3D7AE77A"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p>
        </w:tc>
        <w:tc>
          <w:tcPr>
            <w:tcW w:w="1708" w:type="dxa"/>
            <w:tcBorders>
              <w:top w:val="single" w:sz="6" w:space="0" w:color="auto"/>
              <w:left w:val="single" w:sz="6" w:space="0" w:color="auto"/>
              <w:bottom w:val="single" w:sz="6" w:space="0" w:color="auto"/>
              <w:right w:val="single" w:sz="6" w:space="0" w:color="auto"/>
            </w:tcBorders>
          </w:tcPr>
          <w:p w14:paraId="2F0EFED9"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p>
        </w:tc>
      </w:tr>
      <w:tr w:rsidR="008C10B0" w:rsidRPr="00450621" w14:paraId="2F14289D"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3D6B25F3"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393" w:type="dxa"/>
            <w:tcBorders>
              <w:top w:val="single" w:sz="6" w:space="0" w:color="auto"/>
              <w:left w:val="single" w:sz="6" w:space="0" w:color="auto"/>
              <w:bottom w:val="single" w:sz="6" w:space="0" w:color="auto"/>
              <w:right w:val="single" w:sz="6" w:space="0" w:color="auto"/>
            </w:tcBorders>
          </w:tcPr>
          <w:p w14:paraId="529BAED2" w14:textId="55B99C24" w:rsidR="008C10B0" w:rsidRPr="00DA460F" w:rsidRDefault="008C10B0" w:rsidP="009C5253">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w:t>
            </w:r>
            <w:r w:rsidR="009C5253">
              <w:rPr>
                <w:rFonts w:ascii="Arial" w:eastAsia="Times New Roman" w:hAnsi="Arial" w:cs="Arial"/>
                <w:b/>
                <w:sz w:val="18"/>
                <w:szCs w:val="18"/>
                <w:lang w:eastAsia="es-ES"/>
              </w:rPr>
              <w:t>5</w:t>
            </w:r>
          </w:p>
        </w:tc>
        <w:tc>
          <w:tcPr>
            <w:tcW w:w="1708" w:type="dxa"/>
            <w:tcBorders>
              <w:top w:val="single" w:sz="6" w:space="0" w:color="auto"/>
              <w:left w:val="single" w:sz="6" w:space="0" w:color="auto"/>
              <w:bottom w:val="single" w:sz="6" w:space="0" w:color="auto"/>
              <w:right w:val="single" w:sz="6" w:space="0" w:color="auto"/>
            </w:tcBorders>
          </w:tcPr>
          <w:p w14:paraId="398E9C6F" w14:textId="186A78B1" w:rsidR="008C10B0" w:rsidRPr="00DA460F" w:rsidRDefault="00341678" w:rsidP="008C10B0">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2024</w:t>
            </w:r>
          </w:p>
        </w:tc>
      </w:tr>
      <w:tr w:rsidR="008C10B0" w:rsidRPr="00450621" w14:paraId="5DF70B33"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3366E428"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Efectivo en Bancos –Tesorería</w:t>
            </w:r>
          </w:p>
        </w:tc>
        <w:tc>
          <w:tcPr>
            <w:tcW w:w="1393" w:type="dxa"/>
            <w:tcBorders>
              <w:top w:val="single" w:sz="6" w:space="0" w:color="auto"/>
              <w:left w:val="single" w:sz="6" w:space="0" w:color="auto"/>
              <w:bottom w:val="single" w:sz="6" w:space="0" w:color="auto"/>
              <w:right w:val="single" w:sz="6" w:space="0" w:color="auto"/>
            </w:tcBorders>
          </w:tcPr>
          <w:p w14:paraId="0D4B9333" w14:textId="16139D2E" w:rsidR="008C10B0" w:rsidRPr="00450621" w:rsidRDefault="00E636D5"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1,280,736,</w:t>
            </w:r>
            <w:r w:rsidR="003931E0">
              <w:rPr>
                <w:rFonts w:ascii="Arial" w:eastAsia="Times New Roman" w:hAnsi="Arial" w:cs="Arial"/>
                <w:sz w:val="18"/>
                <w:szCs w:val="18"/>
                <w:lang w:eastAsia="es-ES"/>
              </w:rPr>
              <w:t>895</w:t>
            </w:r>
          </w:p>
        </w:tc>
        <w:tc>
          <w:tcPr>
            <w:tcW w:w="1708" w:type="dxa"/>
            <w:tcBorders>
              <w:top w:val="single" w:sz="6" w:space="0" w:color="auto"/>
              <w:left w:val="single" w:sz="6" w:space="0" w:color="auto"/>
              <w:bottom w:val="single" w:sz="6" w:space="0" w:color="auto"/>
              <w:right w:val="single" w:sz="6" w:space="0" w:color="auto"/>
            </w:tcBorders>
          </w:tcPr>
          <w:p w14:paraId="275AB5A4" w14:textId="6D4B7F1B" w:rsidR="008C10B0" w:rsidRPr="00450621" w:rsidRDefault="0034167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768,823,033</w:t>
            </w:r>
          </w:p>
        </w:tc>
      </w:tr>
      <w:tr w:rsidR="008C10B0" w:rsidRPr="00450621" w14:paraId="2A62D9A1"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69758D53"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Efectivo en Bancos- Dependencias</w:t>
            </w:r>
          </w:p>
        </w:tc>
        <w:tc>
          <w:tcPr>
            <w:tcW w:w="1393" w:type="dxa"/>
            <w:tcBorders>
              <w:top w:val="single" w:sz="6" w:space="0" w:color="auto"/>
              <w:left w:val="single" w:sz="6" w:space="0" w:color="auto"/>
              <w:bottom w:val="single" w:sz="6" w:space="0" w:color="auto"/>
              <w:right w:val="single" w:sz="6" w:space="0" w:color="auto"/>
            </w:tcBorders>
          </w:tcPr>
          <w:p w14:paraId="5DBB9546"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c>
          <w:tcPr>
            <w:tcW w:w="1708" w:type="dxa"/>
            <w:tcBorders>
              <w:top w:val="single" w:sz="6" w:space="0" w:color="auto"/>
              <w:left w:val="single" w:sz="6" w:space="0" w:color="auto"/>
              <w:bottom w:val="single" w:sz="6" w:space="0" w:color="auto"/>
              <w:right w:val="single" w:sz="6" w:space="0" w:color="auto"/>
            </w:tcBorders>
          </w:tcPr>
          <w:p w14:paraId="005A7C65"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8C10B0" w:rsidRPr="00450621" w14:paraId="281DC3BF"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2D43AC0A"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 xml:space="preserve">Inversiones temporales (hasta 3 meses) </w:t>
            </w:r>
          </w:p>
        </w:tc>
        <w:tc>
          <w:tcPr>
            <w:tcW w:w="1393" w:type="dxa"/>
            <w:tcBorders>
              <w:top w:val="single" w:sz="6" w:space="0" w:color="auto"/>
              <w:left w:val="single" w:sz="6" w:space="0" w:color="auto"/>
              <w:bottom w:val="single" w:sz="6" w:space="0" w:color="auto"/>
              <w:right w:val="single" w:sz="6" w:space="0" w:color="auto"/>
            </w:tcBorders>
          </w:tcPr>
          <w:p w14:paraId="182BC67D" w14:textId="62B142F1" w:rsidR="008C10B0" w:rsidRPr="00450621" w:rsidRDefault="005F7CFC"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3,582,782,</w:t>
            </w:r>
            <w:r w:rsidR="00AD1B16">
              <w:rPr>
                <w:rFonts w:ascii="Arial" w:eastAsia="Times New Roman" w:hAnsi="Arial" w:cs="Arial"/>
                <w:sz w:val="18"/>
                <w:szCs w:val="18"/>
                <w:lang w:eastAsia="es-ES"/>
              </w:rPr>
              <w:t>719</w:t>
            </w:r>
          </w:p>
        </w:tc>
        <w:tc>
          <w:tcPr>
            <w:tcW w:w="1708" w:type="dxa"/>
            <w:tcBorders>
              <w:top w:val="single" w:sz="6" w:space="0" w:color="auto"/>
              <w:left w:val="single" w:sz="6" w:space="0" w:color="auto"/>
              <w:bottom w:val="single" w:sz="6" w:space="0" w:color="auto"/>
              <w:right w:val="single" w:sz="6" w:space="0" w:color="auto"/>
            </w:tcBorders>
          </w:tcPr>
          <w:p w14:paraId="626A6E7E" w14:textId="6829A38F" w:rsidR="008C10B0" w:rsidRPr="00450621" w:rsidRDefault="0034167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2,217,011,800</w:t>
            </w:r>
          </w:p>
        </w:tc>
      </w:tr>
      <w:tr w:rsidR="008C10B0" w:rsidRPr="00450621" w14:paraId="5134122B"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18EB466A"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Fondos con afectación específica</w:t>
            </w:r>
          </w:p>
        </w:tc>
        <w:tc>
          <w:tcPr>
            <w:tcW w:w="1393" w:type="dxa"/>
            <w:tcBorders>
              <w:top w:val="single" w:sz="6" w:space="0" w:color="auto"/>
              <w:left w:val="single" w:sz="6" w:space="0" w:color="auto"/>
              <w:bottom w:val="single" w:sz="6" w:space="0" w:color="auto"/>
              <w:right w:val="single" w:sz="6" w:space="0" w:color="auto"/>
            </w:tcBorders>
          </w:tcPr>
          <w:p w14:paraId="14F903B0"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c>
          <w:tcPr>
            <w:tcW w:w="1708" w:type="dxa"/>
            <w:tcBorders>
              <w:top w:val="single" w:sz="6" w:space="0" w:color="auto"/>
              <w:left w:val="single" w:sz="6" w:space="0" w:color="auto"/>
              <w:bottom w:val="single" w:sz="6" w:space="0" w:color="auto"/>
              <w:right w:val="single" w:sz="6" w:space="0" w:color="auto"/>
            </w:tcBorders>
          </w:tcPr>
          <w:p w14:paraId="300F2CBD"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8C10B0" w:rsidRPr="00450621" w14:paraId="00FA2B64"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55A9EEB6"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Depósitos de fondos de terceros y otros</w:t>
            </w:r>
          </w:p>
        </w:tc>
        <w:tc>
          <w:tcPr>
            <w:tcW w:w="1393" w:type="dxa"/>
            <w:tcBorders>
              <w:top w:val="single" w:sz="6" w:space="0" w:color="auto"/>
              <w:left w:val="single" w:sz="6" w:space="0" w:color="auto"/>
              <w:bottom w:val="single" w:sz="6" w:space="0" w:color="auto"/>
              <w:right w:val="single" w:sz="6" w:space="0" w:color="auto"/>
            </w:tcBorders>
          </w:tcPr>
          <w:p w14:paraId="733795F4" w14:textId="0B9D46CD" w:rsidR="008C10B0" w:rsidRPr="00450621" w:rsidRDefault="00AD1B16"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115,751,489</w:t>
            </w:r>
          </w:p>
        </w:tc>
        <w:tc>
          <w:tcPr>
            <w:tcW w:w="1708" w:type="dxa"/>
            <w:tcBorders>
              <w:top w:val="single" w:sz="6" w:space="0" w:color="auto"/>
              <w:left w:val="single" w:sz="6" w:space="0" w:color="auto"/>
              <w:bottom w:val="single" w:sz="6" w:space="0" w:color="auto"/>
              <w:right w:val="single" w:sz="6" w:space="0" w:color="auto"/>
            </w:tcBorders>
          </w:tcPr>
          <w:p w14:paraId="3680A9AD" w14:textId="3A9651F6" w:rsidR="008C10B0" w:rsidRPr="00450621" w:rsidRDefault="0034167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151,707,171</w:t>
            </w:r>
          </w:p>
        </w:tc>
      </w:tr>
      <w:tr w:rsidR="008C10B0" w:rsidRPr="00450621" w14:paraId="495BA80F"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185F5121"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Total</w:t>
            </w:r>
          </w:p>
        </w:tc>
        <w:tc>
          <w:tcPr>
            <w:tcW w:w="1393" w:type="dxa"/>
            <w:tcBorders>
              <w:top w:val="single" w:sz="6" w:space="0" w:color="auto"/>
              <w:left w:val="single" w:sz="6" w:space="0" w:color="auto"/>
              <w:bottom w:val="single" w:sz="6" w:space="0" w:color="auto"/>
              <w:right w:val="single" w:sz="6" w:space="0" w:color="auto"/>
            </w:tcBorders>
          </w:tcPr>
          <w:p w14:paraId="1BB82281" w14:textId="16560033" w:rsidR="008C10B0" w:rsidRPr="009B66AA" w:rsidRDefault="003931E0" w:rsidP="009C5253">
            <w:pPr>
              <w:spacing w:after="0" w:line="240" w:lineRule="exact"/>
              <w:mirrorIndents/>
              <w:jc w:val="right"/>
              <w:rPr>
                <w:rFonts w:ascii="Arial" w:eastAsia="Times New Roman" w:hAnsi="Arial" w:cs="Arial"/>
                <w:b/>
                <w:sz w:val="18"/>
                <w:szCs w:val="18"/>
                <w:lang w:eastAsia="es-ES"/>
              </w:rPr>
            </w:pPr>
            <w:r>
              <w:rPr>
                <w:rFonts w:ascii="Arial" w:eastAsia="Times New Roman" w:hAnsi="Arial" w:cs="Arial"/>
                <w:b/>
                <w:sz w:val="18"/>
                <w:szCs w:val="18"/>
                <w:lang w:eastAsia="es-ES"/>
              </w:rPr>
              <w:t>4,979,271,102</w:t>
            </w:r>
          </w:p>
        </w:tc>
        <w:tc>
          <w:tcPr>
            <w:tcW w:w="1708" w:type="dxa"/>
            <w:tcBorders>
              <w:top w:val="single" w:sz="6" w:space="0" w:color="auto"/>
              <w:left w:val="single" w:sz="6" w:space="0" w:color="auto"/>
              <w:bottom w:val="single" w:sz="6" w:space="0" w:color="auto"/>
              <w:right w:val="single" w:sz="6" w:space="0" w:color="auto"/>
            </w:tcBorders>
          </w:tcPr>
          <w:p w14:paraId="021060BB" w14:textId="07F9B4E4" w:rsidR="008C10B0" w:rsidRPr="009B66AA" w:rsidRDefault="00341678" w:rsidP="008C10B0">
            <w:pPr>
              <w:spacing w:after="0" w:line="240" w:lineRule="exact"/>
              <w:mirrorIndents/>
              <w:jc w:val="right"/>
              <w:rPr>
                <w:rFonts w:ascii="Arial" w:eastAsia="Times New Roman" w:hAnsi="Arial" w:cs="Arial"/>
                <w:b/>
                <w:sz w:val="18"/>
                <w:szCs w:val="18"/>
                <w:lang w:eastAsia="es-ES"/>
              </w:rPr>
            </w:pPr>
            <w:r>
              <w:rPr>
                <w:rFonts w:ascii="Arial" w:eastAsia="Times New Roman" w:hAnsi="Arial" w:cs="Arial"/>
                <w:b/>
                <w:sz w:val="18"/>
                <w:szCs w:val="18"/>
                <w:lang w:eastAsia="es-ES"/>
              </w:rPr>
              <w:t>3,137,542,0004</w:t>
            </w:r>
          </w:p>
        </w:tc>
      </w:tr>
    </w:tbl>
    <w:p w14:paraId="5C4B1989" w14:textId="77777777" w:rsidR="008C10B0" w:rsidRDefault="008C10B0" w:rsidP="008C10B0">
      <w:pPr>
        <w:pStyle w:val="INCISO"/>
        <w:tabs>
          <w:tab w:val="left" w:pos="284"/>
        </w:tabs>
        <w:spacing w:after="0" w:line="276" w:lineRule="auto"/>
        <w:ind w:left="284" w:firstLine="0"/>
        <w:rPr>
          <w:b/>
          <w:smallCaps/>
        </w:rPr>
      </w:pPr>
    </w:p>
    <w:p w14:paraId="481F79E8" w14:textId="77777777" w:rsidR="008C10B0" w:rsidRDefault="008C10B0" w:rsidP="008C10B0">
      <w:pPr>
        <w:pStyle w:val="INCISO"/>
        <w:numPr>
          <w:ilvl w:val="0"/>
          <w:numId w:val="9"/>
        </w:numPr>
        <w:tabs>
          <w:tab w:val="left" w:pos="284"/>
        </w:tabs>
        <w:spacing w:after="0" w:line="276" w:lineRule="auto"/>
        <w:rPr>
          <w:b/>
          <w:smallCaps/>
        </w:rPr>
      </w:pPr>
    </w:p>
    <w:p w14:paraId="7A948AA6" w14:textId="77777777" w:rsidR="008C10B0" w:rsidRDefault="008C10B0" w:rsidP="008C10B0">
      <w:pPr>
        <w:pStyle w:val="INCISO"/>
        <w:tabs>
          <w:tab w:val="left" w:pos="284"/>
        </w:tabs>
        <w:spacing w:after="0" w:line="276" w:lineRule="auto"/>
        <w:ind w:left="284" w:firstLine="0"/>
        <w:rPr>
          <w:b/>
          <w:smallCaps/>
        </w:rPr>
      </w:pPr>
    </w:p>
    <w:p w14:paraId="2F980C8C" w14:textId="77777777" w:rsidR="008C10B0" w:rsidRDefault="008C10B0" w:rsidP="008C10B0">
      <w:pPr>
        <w:spacing w:after="0" w:line="240" w:lineRule="exact"/>
        <w:mirrorIndents/>
        <w:jc w:val="both"/>
        <w:rPr>
          <w:rFonts w:ascii="Arial" w:eastAsia="Times New Roman" w:hAnsi="Arial" w:cs="Arial"/>
          <w:sz w:val="18"/>
          <w:szCs w:val="18"/>
          <w:lang w:eastAsia="es-ES"/>
        </w:rPr>
      </w:pPr>
      <w:r w:rsidRPr="002640DB">
        <w:rPr>
          <w:rFonts w:ascii="Arial" w:eastAsia="Times New Roman" w:hAnsi="Arial" w:cs="Arial"/>
          <w:sz w:val="18"/>
          <w:szCs w:val="18"/>
          <w:lang w:eastAsia="es-ES"/>
        </w:rPr>
        <w:t>2. Adquisiciones de las Actividades de Inversión efectivamente pagadas, respecto del apartado de aplicación.</w:t>
      </w:r>
    </w:p>
    <w:p w14:paraId="772635A4" w14:textId="77777777" w:rsidR="008C10B0" w:rsidRDefault="008C10B0" w:rsidP="008C10B0">
      <w:pPr>
        <w:spacing w:after="0" w:line="240" w:lineRule="exact"/>
        <w:mirrorIndents/>
        <w:jc w:val="both"/>
        <w:rPr>
          <w:rFonts w:ascii="Arial" w:eastAsia="Times New Roman" w:hAnsi="Arial" w:cs="Arial"/>
          <w:sz w:val="18"/>
          <w:szCs w:val="18"/>
          <w:lang w:eastAsia="es-ES"/>
        </w:rPr>
      </w:pPr>
    </w:p>
    <w:tbl>
      <w:tblPr>
        <w:tblW w:w="9350" w:type="dxa"/>
        <w:jc w:val="center"/>
        <w:tblCellMar>
          <w:left w:w="70" w:type="dxa"/>
          <w:right w:w="70" w:type="dxa"/>
        </w:tblCellMar>
        <w:tblLook w:val="04A0" w:firstRow="1" w:lastRow="0" w:firstColumn="1" w:lastColumn="0" w:noHBand="0" w:noVBand="1"/>
      </w:tblPr>
      <w:tblGrid>
        <w:gridCol w:w="6765"/>
        <w:gridCol w:w="1318"/>
        <w:gridCol w:w="1267"/>
      </w:tblGrid>
      <w:tr w:rsidR="008C10B0" w:rsidRPr="00450621" w14:paraId="31719C31" w14:textId="77777777" w:rsidTr="008C10B0">
        <w:trPr>
          <w:trHeight w:val="3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0FE4CC2B" w14:textId="77777777" w:rsidR="008C10B0" w:rsidRPr="00450621" w:rsidRDefault="008C10B0" w:rsidP="008C10B0">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Adquisiciones de Actividades de Inversión Efectivamente pagadas</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57793D33" w14:textId="77777777" w:rsidR="008C10B0" w:rsidRPr="00450621" w:rsidRDefault="008C10B0" w:rsidP="008C10B0">
            <w:pPr>
              <w:spacing w:after="0" w:line="240" w:lineRule="auto"/>
              <w:jc w:val="right"/>
              <w:rPr>
                <w:rFonts w:ascii="Arial" w:eastAsia="Times New Roman" w:hAnsi="Arial" w:cs="Arial"/>
                <w:b/>
                <w:bCs/>
                <w:color w:val="000000"/>
                <w:sz w:val="16"/>
                <w:szCs w:val="16"/>
                <w:lang w:eastAsia="es-MX"/>
              </w:rPr>
            </w:pPr>
          </w:p>
        </w:tc>
        <w:tc>
          <w:tcPr>
            <w:tcW w:w="1267" w:type="dxa"/>
            <w:tcBorders>
              <w:top w:val="single" w:sz="4" w:space="0" w:color="000000"/>
              <w:left w:val="nil"/>
              <w:bottom w:val="single" w:sz="4" w:space="0" w:color="000000"/>
              <w:right w:val="single" w:sz="4" w:space="0" w:color="000000"/>
            </w:tcBorders>
            <w:shd w:val="clear" w:color="000000" w:fill="D3D3D3"/>
          </w:tcPr>
          <w:p w14:paraId="612DB47A" w14:textId="77777777" w:rsidR="008C10B0" w:rsidRDefault="008C10B0" w:rsidP="008C10B0">
            <w:pPr>
              <w:spacing w:after="0" w:line="240" w:lineRule="auto"/>
              <w:jc w:val="right"/>
              <w:rPr>
                <w:rFonts w:ascii="Arial" w:eastAsia="Times New Roman" w:hAnsi="Arial" w:cs="Arial"/>
                <w:b/>
                <w:bCs/>
                <w:color w:val="000000"/>
                <w:sz w:val="16"/>
                <w:szCs w:val="16"/>
                <w:lang w:eastAsia="es-MX"/>
              </w:rPr>
            </w:pPr>
          </w:p>
        </w:tc>
      </w:tr>
      <w:tr w:rsidR="008C10B0" w:rsidRPr="00450621" w14:paraId="2E909C5A" w14:textId="77777777" w:rsidTr="008C10B0">
        <w:trPr>
          <w:trHeight w:val="274"/>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tcPr>
          <w:p w14:paraId="6E81BE8B" w14:textId="77777777" w:rsidR="008C10B0" w:rsidRPr="00450621" w:rsidRDefault="008C10B0"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0277C3ED" w14:textId="7B867DA4" w:rsidR="008C10B0" w:rsidRDefault="00E72137"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2025</w:t>
            </w:r>
          </w:p>
        </w:tc>
        <w:tc>
          <w:tcPr>
            <w:tcW w:w="1267" w:type="dxa"/>
            <w:tcBorders>
              <w:top w:val="single" w:sz="4" w:space="0" w:color="000000"/>
              <w:left w:val="nil"/>
              <w:bottom w:val="single" w:sz="4" w:space="0" w:color="000000"/>
              <w:right w:val="single" w:sz="4" w:space="0" w:color="000000"/>
            </w:tcBorders>
            <w:shd w:val="clear" w:color="000000" w:fill="D3D3D3"/>
          </w:tcPr>
          <w:p w14:paraId="47A3FE17" w14:textId="77777777" w:rsidR="008C10B0" w:rsidRDefault="008C10B0" w:rsidP="008C10B0">
            <w:pPr>
              <w:spacing w:after="0" w:line="240" w:lineRule="auto"/>
              <w:jc w:val="center"/>
              <w:rPr>
                <w:rFonts w:ascii="Arial" w:eastAsia="Times New Roman" w:hAnsi="Arial" w:cs="Arial"/>
                <w:b/>
                <w:bCs/>
                <w:color w:val="000000"/>
                <w:sz w:val="16"/>
                <w:szCs w:val="16"/>
                <w:lang w:eastAsia="es-MX"/>
              </w:rPr>
            </w:pPr>
          </w:p>
          <w:p w14:paraId="79578B86" w14:textId="3D9A913F" w:rsidR="008C10B0" w:rsidRDefault="00E72137"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2024</w:t>
            </w:r>
          </w:p>
        </w:tc>
      </w:tr>
      <w:tr w:rsidR="008C10B0" w:rsidRPr="00450621" w14:paraId="5A21C8A4" w14:textId="77777777" w:rsidTr="008C10B0">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7CCAE828" w14:textId="77777777" w:rsidR="008C10B0" w:rsidRPr="00450621" w:rsidRDefault="008C10B0" w:rsidP="008C10B0">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Bienes Inmuebles, Infraestructura y Construcciones en Proceso</w:t>
            </w:r>
          </w:p>
        </w:tc>
        <w:tc>
          <w:tcPr>
            <w:tcW w:w="1318" w:type="dxa"/>
            <w:tcBorders>
              <w:top w:val="nil"/>
              <w:left w:val="nil"/>
              <w:bottom w:val="single" w:sz="4" w:space="0" w:color="000000"/>
              <w:right w:val="single" w:sz="4" w:space="0" w:color="000000"/>
            </w:tcBorders>
            <w:shd w:val="clear" w:color="000000" w:fill="FFFFFF"/>
            <w:vAlign w:val="bottom"/>
            <w:hideMark/>
          </w:tcPr>
          <w:p w14:paraId="0F3940F8" w14:textId="73A6A00D" w:rsidR="008C10B0" w:rsidRPr="00450621" w:rsidRDefault="00A97FC6"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280,395,252</w:t>
            </w:r>
          </w:p>
        </w:tc>
        <w:tc>
          <w:tcPr>
            <w:tcW w:w="1267" w:type="dxa"/>
            <w:tcBorders>
              <w:top w:val="nil"/>
              <w:left w:val="nil"/>
              <w:bottom w:val="single" w:sz="4" w:space="0" w:color="000000"/>
              <w:right w:val="single" w:sz="4" w:space="0" w:color="000000"/>
            </w:tcBorders>
            <w:shd w:val="clear" w:color="000000" w:fill="FFFFFF"/>
          </w:tcPr>
          <w:p w14:paraId="227E1614" w14:textId="56D5BCC8" w:rsidR="008C10B0" w:rsidRDefault="00E72137"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1,588,400,456</w:t>
            </w:r>
          </w:p>
        </w:tc>
      </w:tr>
      <w:tr w:rsidR="008C10B0" w:rsidRPr="00450621" w14:paraId="4D1E6A99"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D1B3170"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Terrenos</w:t>
            </w:r>
          </w:p>
        </w:tc>
        <w:tc>
          <w:tcPr>
            <w:tcW w:w="1318" w:type="dxa"/>
            <w:tcBorders>
              <w:top w:val="nil"/>
              <w:left w:val="nil"/>
              <w:bottom w:val="single" w:sz="4" w:space="0" w:color="000000"/>
              <w:right w:val="single" w:sz="4" w:space="0" w:color="000000"/>
            </w:tcBorders>
            <w:shd w:val="clear" w:color="000000" w:fill="FFFFFF"/>
            <w:hideMark/>
          </w:tcPr>
          <w:p w14:paraId="77448B2C" w14:textId="6C131131" w:rsidR="008C10B0" w:rsidRPr="00450621" w:rsidRDefault="00A700FE"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51,</w:t>
            </w:r>
            <w:r w:rsidR="00C87722">
              <w:rPr>
                <w:rFonts w:ascii="Arial" w:eastAsia="Times New Roman" w:hAnsi="Arial" w:cs="Arial"/>
                <w:color w:val="000000"/>
                <w:sz w:val="14"/>
                <w:szCs w:val="14"/>
                <w:lang w:eastAsia="es-MX"/>
              </w:rPr>
              <w:t>889,512</w:t>
            </w:r>
            <w:r w:rsidR="008C10B0"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1B9C0FFF" w14:textId="7A4D3CC3"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15,624,379</w:t>
            </w:r>
          </w:p>
        </w:tc>
      </w:tr>
      <w:tr w:rsidR="008C10B0" w:rsidRPr="00450621" w14:paraId="60CC6CCB"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2EC5BEE"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Viviendas</w:t>
            </w:r>
          </w:p>
        </w:tc>
        <w:tc>
          <w:tcPr>
            <w:tcW w:w="1318" w:type="dxa"/>
            <w:tcBorders>
              <w:top w:val="nil"/>
              <w:left w:val="nil"/>
              <w:bottom w:val="single" w:sz="4" w:space="0" w:color="000000"/>
              <w:right w:val="single" w:sz="4" w:space="0" w:color="000000"/>
            </w:tcBorders>
            <w:shd w:val="clear" w:color="000000" w:fill="FFFFFF"/>
            <w:hideMark/>
          </w:tcPr>
          <w:p w14:paraId="608F85F6"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7D1319A9"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8E3C48" w14:paraId="1366AF7A"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D768017"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Edificios no Habitaciones</w:t>
            </w:r>
          </w:p>
        </w:tc>
        <w:tc>
          <w:tcPr>
            <w:tcW w:w="1318" w:type="dxa"/>
            <w:tcBorders>
              <w:top w:val="nil"/>
              <w:left w:val="nil"/>
              <w:bottom w:val="single" w:sz="4" w:space="0" w:color="000000"/>
              <w:right w:val="single" w:sz="4" w:space="0" w:color="000000"/>
            </w:tcBorders>
            <w:shd w:val="clear" w:color="000000" w:fill="FFFFFF"/>
            <w:hideMark/>
          </w:tcPr>
          <w:p w14:paraId="661CABC0" w14:textId="77777777" w:rsidR="008C10B0" w:rsidRPr="008E3C48"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74F5C3D5" w14:textId="77777777" w:rsidR="008C10B0" w:rsidRPr="008E3C48" w:rsidRDefault="008C10B0" w:rsidP="008C10B0">
            <w:pPr>
              <w:spacing w:after="0" w:line="240" w:lineRule="auto"/>
              <w:jc w:val="right"/>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0</w:t>
            </w:r>
          </w:p>
        </w:tc>
      </w:tr>
      <w:tr w:rsidR="008C10B0" w:rsidRPr="00450621" w14:paraId="4A6C9640"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566A0C7"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Infraestructura</w:t>
            </w:r>
          </w:p>
        </w:tc>
        <w:tc>
          <w:tcPr>
            <w:tcW w:w="1318" w:type="dxa"/>
            <w:tcBorders>
              <w:top w:val="nil"/>
              <w:left w:val="nil"/>
              <w:bottom w:val="single" w:sz="4" w:space="0" w:color="000000"/>
              <w:right w:val="single" w:sz="4" w:space="0" w:color="000000"/>
            </w:tcBorders>
            <w:shd w:val="clear" w:color="000000" w:fill="FFFFFF"/>
            <w:hideMark/>
          </w:tcPr>
          <w:p w14:paraId="2D32DABF"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12FE8CCF" w14:textId="77777777" w:rsidR="008C10B0"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421CF5AF"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2CCDFCE"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Construcciones en Proceso en Bienes de Dominio Público</w:t>
            </w:r>
          </w:p>
        </w:tc>
        <w:tc>
          <w:tcPr>
            <w:tcW w:w="1318" w:type="dxa"/>
            <w:tcBorders>
              <w:top w:val="nil"/>
              <w:left w:val="nil"/>
              <w:bottom w:val="single" w:sz="4" w:space="0" w:color="000000"/>
              <w:right w:val="single" w:sz="4" w:space="0" w:color="000000"/>
            </w:tcBorders>
            <w:shd w:val="clear" w:color="000000" w:fill="FFFFFF"/>
            <w:hideMark/>
          </w:tcPr>
          <w:p w14:paraId="48B2B169" w14:textId="45A6EA8D" w:rsidR="008C10B0" w:rsidRPr="00450621" w:rsidRDefault="0043237B"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55,</w:t>
            </w:r>
            <w:r w:rsidR="00895F89">
              <w:rPr>
                <w:rFonts w:ascii="Arial" w:eastAsia="Times New Roman" w:hAnsi="Arial" w:cs="Arial"/>
                <w:color w:val="000000"/>
                <w:sz w:val="14"/>
                <w:szCs w:val="14"/>
                <w:lang w:eastAsia="es-MX"/>
              </w:rPr>
              <w:t>923,862</w:t>
            </w:r>
            <w:r w:rsidR="008C10B0"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0A4CDF3E" w14:textId="39A881B4"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510,972,078</w:t>
            </w:r>
          </w:p>
        </w:tc>
      </w:tr>
      <w:tr w:rsidR="008C10B0" w:rsidRPr="00450621" w14:paraId="7C8FD6B8"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C0A2233"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Construcciones en Proceso en Bienes Propios</w:t>
            </w:r>
          </w:p>
        </w:tc>
        <w:tc>
          <w:tcPr>
            <w:tcW w:w="1318" w:type="dxa"/>
            <w:tcBorders>
              <w:top w:val="nil"/>
              <w:left w:val="nil"/>
              <w:bottom w:val="single" w:sz="4" w:space="0" w:color="000000"/>
              <w:right w:val="single" w:sz="4" w:space="0" w:color="000000"/>
            </w:tcBorders>
            <w:shd w:val="clear" w:color="000000" w:fill="FFFFFF"/>
            <w:hideMark/>
          </w:tcPr>
          <w:p w14:paraId="5BCEE062" w14:textId="2B414CF7" w:rsidR="008C10B0" w:rsidRPr="00450621" w:rsidRDefault="00081609"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172,581,877</w:t>
            </w:r>
          </w:p>
        </w:tc>
        <w:tc>
          <w:tcPr>
            <w:tcW w:w="1267" w:type="dxa"/>
            <w:tcBorders>
              <w:top w:val="nil"/>
              <w:left w:val="nil"/>
              <w:bottom w:val="single" w:sz="4" w:space="0" w:color="000000"/>
              <w:right w:val="single" w:sz="4" w:space="0" w:color="000000"/>
            </w:tcBorders>
            <w:shd w:val="clear" w:color="000000" w:fill="FFFFFF"/>
          </w:tcPr>
          <w:p w14:paraId="2A82F222" w14:textId="5D9F0A16"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1,061,803,999</w:t>
            </w:r>
          </w:p>
        </w:tc>
      </w:tr>
      <w:tr w:rsidR="008C10B0" w:rsidRPr="00450621" w14:paraId="7467C9A7"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52D3EEA"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Otros Bienes Inmuebles</w:t>
            </w:r>
          </w:p>
        </w:tc>
        <w:tc>
          <w:tcPr>
            <w:tcW w:w="1318" w:type="dxa"/>
            <w:tcBorders>
              <w:top w:val="nil"/>
              <w:left w:val="nil"/>
              <w:bottom w:val="single" w:sz="4" w:space="0" w:color="000000"/>
              <w:right w:val="single" w:sz="4" w:space="0" w:color="000000"/>
            </w:tcBorders>
            <w:shd w:val="clear" w:color="000000" w:fill="FFFFFF"/>
            <w:hideMark/>
          </w:tcPr>
          <w:p w14:paraId="23D36A68"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00A5D1A1"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01498352"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CB00667"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b/>
                <w:bCs/>
                <w:color w:val="000000"/>
                <w:sz w:val="16"/>
                <w:szCs w:val="16"/>
                <w:lang w:eastAsia="es-MX"/>
              </w:rPr>
              <w:t>Bienes Muebles</w:t>
            </w:r>
          </w:p>
        </w:tc>
        <w:tc>
          <w:tcPr>
            <w:tcW w:w="1318" w:type="dxa"/>
            <w:tcBorders>
              <w:top w:val="nil"/>
              <w:left w:val="nil"/>
              <w:bottom w:val="single" w:sz="4" w:space="0" w:color="000000"/>
              <w:right w:val="single" w:sz="4" w:space="0" w:color="000000"/>
            </w:tcBorders>
            <w:shd w:val="clear" w:color="000000" w:fill="FFFFFF"/>
            <w:hideMark/>
          </w:tcPr>
          <w:p w14:paraId="17F270AB" w14:textId="57AE9B79" w:rsidR="008C10B0" w:rsidRPr="00FF5A7D" w:rsidRDefault="00BE0A7A" w:rsidP="008C10B0">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27,946,721</w:t>
            </w:r>
          </w:p>
        </w:tc>
        <w:tc>
          <w:tcPr>
            <w:tcW w:w="1267" w:type="dxa"/>
            <w:tcBorders>
              <w:top w:val="nil"/>
              <w:left w:val="nil"/>
              <w:bottom w:val="single" w:sz="4" w:space="0" w:color="000000"/>
              <w:right w:val="single" w:sz="4" w:space="0" w:color="000000"/>
            </w:tcBorders>
            <w:shd w:val="clear" w:color="000000" w:fill="FFFFFF"/>
          </w:tcPr>
          <w:p w14:paraId="4AD8FC07" w14:textId="0834A79D" w:rsidR="008C10B0" w:rsidRPr="00FF5A7D" w:rsidRDefault="00E72137" w:rsidP="008C10B0">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529,041,562</w:t>
            </w:r>
          </w:p>
        </w:tc>
      </w:tr>
      <w:tr w:rsidR="008C10B0" w:rsidRPr="00450621" w14:paraId="434BCC0E"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C3F8E0B"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Mobiliario y Equipo de Administración</w:t>
            </w:r>
          </w:p>
        </w:tc>
        <w:tc>
          <w:tcPr>
            <w:tcW w:w="1318" w:type="dxa"/>
            <w:tcBorders>
              <w:top w:val="nil"/>
              <w:left w:val="nil"/>
              <w:bottom w:val="single" w:sz="4" w:space="0" w:color="000000"/>
              <w:right w:val="single" w:sz="4" w:space="0" w:color="000000"/>
            </w:tcBorders>
            <w:shd w:val="clear" w:color="000000" w:fill="FFFFFF"/>
            <w:hideMark/>
          </w:tcPr>
          <w:p w14:paraId="2D39311D" w14:textId="0ADFF919" w:rsidR="008C10B0" w:rsidRPr="00450621" w:rsidRDefault="00F45472"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12,</w:t>
            </w:r>
            <w:r w:rsidR="00474714">
              <w:rPr>
                <w:rFonts w:ascii="Arial" w:eastAsia="Times New Roman" w:hAnsi="Arial" w:cs="Arial"/>
                <w:color w:val="000000"/>
                <w:sz w:val="14"/>
                <w:szCs w:val="14"/>
                <w:lang w:eastAsia="es-MX"/>
              </w:rPr>
              <w:t>256,135</w:t>
            </w:r>
          </w:p>
        </w:tc>
        <w:tc>
          <w:tcPr>
            <w:tcW w:w="1267" w:type="dxa"/>
            <w:tcBorders>
              <w:top w:val="nil"/>
              <w:left w:val="nil"/>
              <w:bottom w:val="single" w:sz="4" w:space="0" w:color="000000"/>
              <w:right w:val="single" w:sz="4" w:space="0" w:color="000000"/>
            </w:tcBorders>
            <w:shd w:val="clear" w:color="000000" w:fill="FFFFFF"/>
          </w:tcPr>
          <w:p w14:paraId="061DE0F5" w14:textId="25B270BD"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68,843,939</w:t>
            </w:r>
          </w:p>
        </w:tc>
      </w:tr>
      <w:tr w:rsidR="008C10B0" w:rsidRPr="00450621" w14:paraId="1E3639EA"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DDFFFA4"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Mobiliario y Equipo Educacional y Recreativ</w:t>
            </w:r>
            <w:r>
              <w:rPr>
                <w:rFonts w:ascii="Arial" w:eastAsia="Times New Roman" w:hAnsi="Arial" w:cs="Arial"/>
                <w:color w:val="000000"/>
                <w:sz w:val="14"/>
                <w:szCs w:val="14"/>
                <w:lang w:eastAsia="es-MX"/>
              </w:rPr>
              <w:t>o</w:t>
            </w:r>
          </w:p>
        </w:tc>
        <w:tc>
          <w:tcPr>
            <w:tcW w:w="1318" w:type="dxa"/>
            <w:tcBorders>
              <w:top w:val="nil"/>
              <w:left w:val="nil"/>
              <w:bottom w:val="single" w:sz="4" w:space="0" w:color="000000"/>
              <w:right w:val="single" w:sz="4" w:space="0" w:color="000000"/>
            </w:tcBorders>
            <w:shd w:val="clear" w:color="000000" w:fill="FFFFFF"/>
            <w:hideMark/>
          </w:tcPr>
          <w:p w14:paraId="255F0627" w14:textId="7CEA7830" w:rsidR="008C10B0" w:rsidRDefault="00987C1E"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1,106,945</w:t>
            </w:r>
          </w:p>
          <w:p w14:paraId="497BDC43"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2FBDC4DE" w14:textId="5C306B5E"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37,483,870</w:t>
            </w:r>
          </w:p>
        </w:tc>
      </w:tr>
      <w:tr w:rsidR="008C10B0" w:rsidRPr="00450621" w14:paraId="6DEA00B7"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1588181"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Equipo e Instrumental Médico y de Laboratorio</w:t>
            </w:r>
          </w:p>
        </w:tc>
        <w:tc>
          <w:tcPr>
            <w:tcW w:w="1318" w:type="dxa"/>
            <w:tcBorders>
              <w:top w:val="nil"/>
              <w:left w:val="nil"/>
              <w:bottom w:val="single" w:sz="4" w:space="0" w:color="000000"/>
              <w:right w:val="single" w:sz="4" w:space="0" w:color="000000"/>
            </w:tcBorders>
            <w:shd w:val="clear" w:color="000000" w:fill="FFFFFF"/>
            <w:hideMark/>
          </w:tcPr>
          <w:p w14:paraId="5B6CEDE1" w14:textId="2A0B3B38" w:rsidR="008C10B0" w:rsidRPr="00450621" w:rsidRDefault="00393C53"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928,771</w:t>
            </w:r>
          </w:p>
        </w:tc>
        <w:tc>
          <w:tcPr>
            <w:tcW w:w="1267" w:type="dxa"/>
            <w:tcBorders>
              <w:top w:val="nil"/>
              <w:left w:val="nil"/>
              <w:bottom w:val="single" w:sz="4" w:space="0" w:color="000000"/>
              <w:right w:val="single" w:sz="4" w:space="0" w:color="000000"/>
            </w:tcBorders>
            <w:shd w:val="clear" w:color="000000" w:fill="FFFFFF"/>
          </w:tcPr>
          <w:p w14:paraId="7CEEBD88" w14:textId="433D254F"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28,626,603</w:t>
            </w:r>
          </w:p>
        </w:tc>
      </w:tr>
      <w:tr w:rsidR="008C10B0" w:rsidRPr="00450621" w14:paraId="4ECF6971"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52A657D"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Vehículos y Equipo de Transporte</w:t>
            </w:r>
          </w:p>
        </w:tc>
        <w:tc>
          <w:tcPr>
            <w:tcW w:w="1318" w:type="dxa"/>
            <w:tcBorders>
              <w:top w:val="nil"/>
              <w:left w:val="nil"/>
              <w:bottom w:val="single" w:sz="4" w:space="0" w:color="000000"/>
              <w:right w:val="single" w:sz="4" w:space="0" w:color="000000"/>
            </w:tcBorders>
            <w:shd w:val="clear" w:color="000000" w:fill="FFFFFF"/>
            <w:hideMark/>
          </w:tcPr>
          <w:p w14:paraId="068453BD" w14:textId="4ADFB815" w:rsidR="008C10B0" w:rsidRPr="00450621" w:rsidRDefault="001C38B2"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7,801,</w:t>
            </w:r>
            <w:r w:rsidR="009E139D">
              <w:rPr>
                <w:rFonts w:ascii="Arial" w:eastAsia="Times New Roman" w:hAnsi="Arial" w:cs="Arial"/>
                <w:color w:val="000000"/>
                <w:sz w:val="14"/>
                <w:szCs w:val="14"/>
                <w:lang w:eastAsia="es-MX"/>
              </w:rPr>
              <w:t>191</w:t>
            </w:r>
            <w:r w:rsidR="008C10B0"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1D8D3FA5" w14:textId="36893EED"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127,242,603</w:t>
            </w:r>
          </w:p>
        </w:tc>
      </w:tr>
      <w:tr w:rsidR="008C10B0" w:rsidRPr="00450621" w14:paraId="51A9004C"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60CFF5A"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Equipo de Defensa y Seguridad</w:t>
            </w:r>
          </w:p>
        </w:tc>
        <w:tc>
          <w:tcPr>
            <w:tcW w:w="1318" w:type="dxa"/>
            <w:tcBorders>
              <w:top w:val="nil"/>
              <w:left w:val="nil"/>
              <w:bottom w:val="single" w:sz="4" w:space="0" w:color="000000"/>
              <w:right w:val="single" w:sz="4" w:space="0" w:color="000000"/>
            </w:tcBorders>
            <w:shd w:val="clear" w:color="000000" w:fill="FFFFFF"/>
            <w:hideMark/>
          </w:tcPr>
          <w:p w14:paraId="3BACD75E" w14:textId="6B825B0A" w:rsidR="008C10B0" w:rsidRPr="00450621" w:rsidRDefault="00036275"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5,478,</w:t>
            </w:r>
            <w:r w:rsidR="00A51FF5">
              <w:rPr>
                <w:rFonts w:ascii="Arial" w:eastAsia="Times New Roman" w:hAnsi="Arial" w:cs="Arial"/>
                <w:color w:val="000000"/>
                <w:sz w:val="14"/>
                <w:szCs w:val="14"/>
                <w:lang w:eastAsia="es-MX"/>
              </w:rPr>
              <w:t>185</w:t>
            </w:r>
          </w:p>
        </w:tc>
        <w:tc>
          <w:tcPr>
            <w:tcW w:w="1267" w:type="dxa"/>
            <w:tcBorders>
              <w:top w:val="nil"/>
              <w:left w:val="nil"/>
              <w:bottom w:val="single" w:sz="4" w:space="0" w:color="000000"/>
              <w:right w:val="single" w:sz="4" w:space="0" w:color="000000"/>
            </w:tcBorders>
            <w:shd w:val="clear" w:color="000000" w:fill="FFFFFF"/>
          </w:tcPr>
          <w:p w14:paraId="70CF0969" w14:textId="4FE4D9A6"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3,629,837</w:t>
            </w:r>
          </w:p>
        </w:tc>
      </w:tr>
      <w:tr w:rsidR="008C10B0" w:rsidRPr="00450621" w14:paraId="20F9C079"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B7D46E3"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Maquinaria, Otros Equipos y Herramientas</w:t>
            </w:r>
          </w:p>
        </w:tc>
        <w:tc>
          <w:tcPr>
            <w:tcW w:w="1318" w:type="dxa"/>
            <w:tcBorders>
              <w:top w:val="nil"/>
              <w:left w:val="nil"/>
              <w:bottom w:val="single" w:sz="4" w:space="0" w:color="000000"/>
              <w:right w:val="single" w:sz="4" w:space="0" w:color="000000"/>
            </w:tcBorders>
            <w:shd w:val="clear" w:color="000000" w:fill="FFFFFF"/>
            <w:hideMark/>
          </w:tcPr>
          <w:p w14:paraId="70156627" w14:textId="1CE4B0C8" w:rsidR="008C10B0" w:rsidRPr="00450621" w:rsidRDefault="008B7E36"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375,494</w:t>
            </w:r>
          </w:p>
        </w:tc>
        <w:tc>
          <w:tcPr>
            <w:tcW w:w="1267" w:type="dxa"/>
            <w:tcBorders>
              <w:top w:val="nil"/>
              <w:left w:val="nil"/>
              <w:bottom w:val="single" w:sz="4" w:space="0" w:color="000000"/>
              <w:right w:val="single" w:sz="4" w:space="0" w:color="000000"/>
            </w:tcBorders>
            <w:shd w:val="clear" w:color="000000" w:fill="FFFFFF"/>
          </w:tcPr>
          <w:p w14:paraId="7FFCD163" w14:textId="3B69CF37"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263,214,710</w:t>
            </w:r>
          </w:p>
        </w:tc>
      </w:tr>
      <w:tr w:rsidR="008C10B0" w:rsidRPr="00450621" w14:paraId="2150F8B9"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8599F06"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Colecciones, Obras de Arte y Objetos Valiosos</w:t>
            </w:r>
          </w:p>
        </w:tc>
        <w:tc>
          <w:tcPr>
            <w:tcW w:w="1318" w:type="dxa"/>
            <w:tcBorders>
              <w:top w:val="nil"/>
              <w:left w:val="nil"/>
              <w:bottom w:val="single" w:sz="4" w:space="0" w:color="000000"/>
              <w:right w:val="single" w:sz="4" w:space="0" w:color="000000"/>
            </w:tcBorders>
            <w:shd w:val="clear" w:color="000000" w:fill="FFFFFF"/>
            <w:hideMark/>
          </w:tcPr>
          <w:p w14:paraId="11368472"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7383C607"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54BD26BE"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A62A68D"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Activos Biológicos</w:t>
            </w:r>
          </w:p>
        </w:tc>
        <w:tc>
          <w:tcPr>
            <w:tcW w:w="1318" w:type="dxa"/>
            <w:tcBorders>
              <w:top w:val="nil"/>
              <w:left w:val="nil"/>
              <w:bottom w:val="single" w:sz="4" w:space="0" w:color="000000"/>
              <w:right w:val="single" w:sz="4" w:space="0" w:color="000000"/>
            </w:tcBorders>
            <w:shd w:val="clear" w:color="000000" w:fill="FFFFFF"/>
            <w:hideMark/>
          </w:tcPr>
          <w:p w14:paraId="759C44CA"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0707E3DC"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77C8193E"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7842D39" w14:textId="77777777" w:rsidR="008C10B0" w:rsidRPr="00F8171F" w:rsidRDefault="008C10B0" w:rsidP="008C10B0">
            <w:pPr>
              <w:spacing w:after="0" w:line="240" w:lineRule="auto"/>
              <w:rPr>
                <w:rFonts w:ascii="Arial" w:eastAsia="Times New Roman" w:hAnsi="Arial" w:cs="Arial"/>
                <w:b/>
                <w:color w:val="000000"/>
                <w:sz w:val="14"/>
                <w:szCs w:val="14"/>
                <w:lang w:eastAsia="es-MX"/>
              </w:rPr>
            </w:pPr>
            <w:r w:rsidRPr="00F8171F">
              <w:rPr>
                <w:rFonts w:ascii="Arial" w:eastAsia="Times New Roman" w:hAnsi="Arial" w:cs="Arial"/>
                <w:b/>
                <w:color w:val="000000"/>
                <w:sz w:val="14"/>
                <w:szCs w:val="14"/>
                <w:lang w:eastAsia="es-MX"/>
              </w:rPr>
              <w:t>Otras Inversiones</w:t>
            </w:r>
          </w:p>
        </w:tc>
        <w:tc>
          <w:tcPr>
            <w:tcW w:w="1318" w:type="dxa"/>
            <w:tcBorders>
              <w:top w:val="nil"/>
              <w:left w:val="nil"/>
              <w:bottom w:val="single" w:sz="4" w:space="0" w:color="000000"/>
              <w:right w:val="single" w:sz="4" w:space="0" w:color="000000"/>
            </w:tcBorders>
            <w:shd w:val="clear" w:color="000000" w:fill="FFFFFF"/>
            <w:hideMark/>
          </w:tcPr>
          <w:p w14:paraId="24C7DA9F" w14:textId="2823C83E" w:rsidR="008C10B0" w:rsidRPr="00F8171F" w:rsidRDefault="004E360F" w:rsidP="008C10B0">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111,667,</w:t>
            </w:r>
            <w:r w:rsidR="00A422D8">
              <w:rPr>
                <w:rFonts w:ascii="Arial" w:eastAsia="Times New Roman" w:hAnsi="Arial" w:cs="Arial"/>
                <w:b/>
                <w:color w:val="000000"/>
                <w:sz w:val="14"/>
                <w:szCs w:val="14"/>
                <w:lang w:eastAsia="es-MX"/>
              </w:rPr>
              <w:t>547</w:t>
            </w:r>
          </w:p>
        </w:tc>
        <w:tc>
          <w:tcPr>
            <w:tcW w:w="1267" w:type="dxa"/>
            <w:tcBorders>
              <w:top w:val="nil"/>
              <w:left w:val="nil"/>
              <w:bottom w:val="single" w:sz="4" w:space="0" w:color="000000"/>
              <w:right w:val="single" w:sz="4" w:space="0" w:color="000000"/>
            </w:tcBorders>
            <w:shd w:val="clear" w:color="000000" w:fill="FFFFFF"/>
          </w:tcPr>
          <w:p w14:paraId="221AC36E" w14:textId="279D92DA" w:rsidR="008C10B0" w:rsidRPr="00F8171F" w:rsidRDefault="00E72137" w:rsidP="008C10B0">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62,677,733</w:t>
            </w:r>
          </w:p>
        </w:tc>
      </w:tr>
      <w:tr w:rsidR="008C10B0" w:rsidRPr="00450621" w14:paraId="75F41469" w14:textId="77777777" w:rsidTr="008C10B0">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527D47E6" w14:textId="77777777" w:rsidR="008C10B0" w:rsidRPr="00450621" w:rsidRDefault="008C10B0"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TOTAL</w:t>
            </w:r>
          </w:p>
        </w:tc>
        <w:tc>
          <w:tcPr>
            <w:tcW w:w="1318" w:type="dxa"/>
            <w:tcBorders>
              <w:top w:val="nil"/>
              <w:left w:val="nil"/>
              <w:bottom w:val="single" w:sz="4" w:space="0" w:color="000000"/>
              <w:right w:val="single" w:sz="4" w:space="0" w:color="000000"/>
            </w:tcBorders>
            <w:shd w:val="clear" w:color="000000" w:fill="D3D3D3"/>
            <w:vAlign w:val="bottom"/>
            <w:hideMark/>
          </w:tcPr>
          <w:p w14:paraId="2B3C1D72" w14:textId="1D0BCCEA" w:rsidR="008C10B0" w:rsidRPr="00450621" w:rsidRDefault="006B33DA"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420,009,520</w:t>
            </w:r>
          </w:p>
        </w:tc>
        <w:tc>
          <w:tcPr>
            <w:tcW w:w="1267" w:type="dxa"/>
            <w:tcBorders>
              <w:top w:val="nil"/>
              <w:left w:val="nil"/>
              <w:bottom w:val="single" w:sz="4" w:space="0" w:color="000000"/>
              <w:right w:val="single" w:sz="4" w:space="0" w:color="000000"/>
            </w:tcBorders>
            <w:shd w:val="clear" w:color="000000" w:fill="D3D3D3"/>
          </w:tcPr>
          <w:p w14:paraId="3C425E8E" w14:textId="77777777" w:rsidR="008C10B0" w:rsidRDefault="008C10B0" w:rsidP="008C10B0">
            <w:pPr>
              <w:spacing w:after="0" w:line="240" w:lineRule="auto"/>
              <w:jc w:val="right"/>
              <w:rPr>
                <w:rFonts w:ascii="Arial" w:eastAsia="Times New Roman" w:hAnsi="Arial" w:cs="Arial"/>
                <w:b/>
                <w:bCs/>
                <w:color w:val="000000"/>
                <w:sz w:val="16"/>
                <w:szCs w:val="16"/>
                <w:lang w:eastAsia="es-MX"/>
              </w:rPr>
            </w:pPr>
          </w:p>
          <w:p w14:paraId="593233A5" w14:textId="00F138F9" w:rsidR="008C10B0" w:rsidRDefault="00E72137"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2,180,119,751</w:t>
            </w:r>
          </w:p>
        </w:tc>
      </w:tr>
    </w:tbl>
    <w:p w14:paraId="2FBFE752" w14:textId="77777777" w:rsidR="008C10B0" w:rsidRDefault="008C10B0" w:rsidP="008C10B0">
      <w:pPr>
        <w:pStyle w:val="INCISO"/>
        <w:tabs>
          <w:tab w:val="left" w:pos="284"/>
        </w:tabs>
        <w:spacing w:after="0" w:line="276" w:lineRule="auto"/>
        <w:ind w:left="284" w:firstLine="0"/>
        <w:rPr>
          <w:b/>
          <w:smallCaps/>
        </w:rPr>
      </w:pPr>
    </w:p>
    <w:p w14:paraId="701A1345" w14:textId="77777777" w:rsidR="008C10B0" w:rsidRDefault="008C10B0" w:rsidP="008C10B0">
      <w:pPr>
        <w:spacing w:after="0" w:line="240" w:lineRule="exact"/>
        <w:mirrorIndents/>
        <w:jc w:val="both"/>
        <w:rPr>
          <w:rFonts w:ascii="Arial" w:eastAsia="Times New Roman" w:hAnsi="Arial" w:cs="Arial"/>
          <w:sz w:val="18"/>
          <w:szCs w:val="18"/>
          <w:lang w:eastAsia="es-ES"/>
        </w:rPr>
      </w:pPr>
      <w:r w:rsidRPr="002640DB">
        <w:rPr>
          <w:rFonts w:ascii="Arial" w:eastAsia="Times New Roman" w:hAnsi="Arial" w:cs="Arial"/>
          <w:sz w:val="18"/>
          <w:szCs w:val="18"/>
          <w:lang w:eastAsia="es-ES"/>
        </w:rPr>
        <w:t>3. Conciliación de los Flujos de Efectivo Netos de las Actividades de Operación y los saldos de Resultados del Ejercicio (Ahorro/Desahorro).</w:t>
      </w:r>
    </w:p>
    <w:p w14:paraId="33624025" w14:textId="77777777" w:rsidR="008C10B0" w:rsidRDefault="008C10B0" w:rsidP="008C10B0">
      <w:pPr>
        <w:spacing w:after="0" w:line="240" w:lineRule="exact"/>
        <w:mirrorIndents/>
        <w:jc w:val="both"/>
        <w:rPr>
          <w:rFonts w:ascii="Arial" w:eastAsia="Times New Roman" w:hAnsi="Arial" w:cs="Arial"/>
          <w:b/>
          <w:smallCaps/>
          <w:sz w:val="18"/>
          <w:szCs w:val="18"/>
          <w:lang w:val="es-ES" w:eastAsia="es-ES"/>
        </w:rPr>
      </w:pPr>
    </w:p>
    <w:tbl>
      <w:tblPr>
        <w:tblW w:w="9350" w:type="dxa"/>
        <w:jc w:val="center"/>
        <w:tblCellMar>
          <w:left w:w="70" w:type="dxa"/>
          <w:right w:w="70" w:type="dxa"/>
        </w:tblCellMar>
        <w:tblLook w:val="04A0" w:firstRow="1" w:lastRow="0" w:firstColumn="1" w:lastColumn="0" w:noHBand="0" w:noVBand="1"/>
      </w:tblPr>
      <w:tblGrid>
        <w:gridCol w:w="6765"/>
        <w:gridCol w:w="1318"/>
        <w:gridCol w:w="1267"/>
      </w:tblGrid>
      <w:tr w:rsidR="008C10B0" w:rsidRPr="00450621" w14:paraId="236BF042" w14:textId="77777777" w:rsidTr="008C10B0">
        <w:trPr>
          <w:trHeight w:val="3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5B438B81" w14:textId="77777777" w:rsidR="008C10B0" w:rsidRPr="00450621" w:rsidRDefault="008C10B0" w:rsidP="008C10B0">
            <w:pPr>
              <w:spacing w:after="0" w:line="240" w:lineRule="auto"/>
              <w:jc w:val="center"/>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CONCILIACION DE FLUJOS DE EFECTIVO NETOS</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494BB951" w14:textId="77777777" w:rsidR="008C10B0" w:rsidRPr="00450621" w:rsidRDefault="008C10B0" w:rsidP="008C10B0">
            <w:pPr>
              <w:spacing w:after="0" w:line="240" w:lineRule="auto"/>
              <w:jc w:val="right"/>
              <w:rPr>
                <w:rFonts w:ascii="Arial" w:eastAsia="Times New Roman" w:hAnsi="Arial" w:cs="Arial"/>
                <w:b/>
                <w:bCs/>
                <w:color w:val="000000"/>
                <w:sz w:val="16"/>
                <w:szCs w:val="16"/>
                <w:lang w:eastAsia="es-MX"/>
              </w:rPr>
            </w:pPr>
          </w:p>
        </w:tc>
        <w:tc>
          <w:tcPr>
            <w:tcW w:w="1267" w:type="dxa"/>
            <w:tcBorders>
              <w:top w:val="single" w:sz="4" w:space="0" w:color="000000"/>
              <w:left w:val="nil"/>
              <w:bottom w:val="single" w:sz="4" w:space="0" w:color="000000"/>
              <w:right w:val="single" w:sz="4" w:space="0" w:color="000000"/>
            </w:tcBorders>
            <w:shd w:val="clear" w:color="000000" w:fill="D3D3D3"/>
          </w:tcPr>
          <w:p w14:paraId="79113004" w14:textId="77777777" w:rsidR="008C10B0" w:rsidRDefault="008C10B0" w:rsidP="008C10B0">
            <w:pPr>
              <w:spacing w:after="0" w:line="240" w:lineRule="auto"/>
              <w:jc w:val="right"/>
              <w:rPr>
                <w:rFonts w:ascii="Arial" w:eastAsia="Times New Roman" w:hAnsi="Arial" w:cs="Arial"/>
                <w:b/>
                <w:bCs/>
                <w:color w:val="000000"/>
                <w:sz w:val="16"/>
                <w:szCs w:val="16"/>
                <w:lang w:eastAsia="es-MX"/>
              </w:rPr>
            </w:pPr>
          </w:p>
        </w:tc>
      </w:tr>
      <w:tr w:rsidR="008C10B0" w:rsidRPr="00450621" w14:paraId="34CA8009" w14:textId="77777777" w:rsidTr="008C10B0">
        <w:trPr>
          <w:trHeight w:val="274"/>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tcPr>
          <w:p w14:paraId="7EECCF8B" w14:textId="77777777" w:rsidR="008C10B0" w:rsidRPr="00450621" w:rsidRDefault="008C10B0"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5DE2F0D8" w14:textId="03B36D02" w:rsidR="008C10B0" w:rsidRDefault="008C10B0"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w:t>
            </w:r>
            <w:r w:rsidR="008114B3">
              <w:rPr>
                <w:rFonts w:ascii="Arial" w:eastAsia="Times New Roman" w:hAnsi="Arial" w:cs="Arial"/>
                <w:b/>
                <w:bCs/>
                <w:color w:val="000000"/>
                <w:sz w:val="16"/>
                <w:szCs w:val="16"/>
                <w:lang w:eastAsia="es-MX"/>
              </w:rPr>
              <w:t>5</w:t>
            </w:r>
          </w:p>
        </w:tc>
        <w:tc>
          <w:tcPr>
            <w:tcW w:w="1267" w:type="dxa"/>
            <w:tcBorders>
              <w:top w:val="single" w:sz="4" w:space="0" w:color="000000"/>
              <w:left w:val="nil"/>
              <w:bottom w:val="single" w:sz="4" w:space="0" w:color="000000"/>
              <w:right w:val="single" w:sz="4" w:space="0" w:color="000000"/>
            </w:tcBorders>
            <w:shd w:val="clear" w:color="000000" w:fill="D3D3D3"/>
          </w:tcPr>
          <w:p w14:paraId="663E774B" w14:textId="77777777" w:rsidR="008C10B0" w:rsidRDefault="008C10B0" w:rsidP="008C10B0">
            <w:pPr>
              <w:spacing w:after="0" w:line="240" w:lineRule="auto"/>
              <w:jc w:val="center"/>
              <w:rPr>
                <w:rFonts w:ascii="Arial" w:eastAsia="Times New Roman" w:hAnsi="Arial" w:cs="Arial"/>
                <w:b/>
                <w:bCs/>
                <w:color w:val="000000"/>
                <w:sz w:val="16"/>
                <w:szCs w:val="16"/>
                <w:lang w:eastAsia="es-MX"/>
              </w:rPr>
            </w:pPr>
          </w:p>
          <w:p w14:paraId="05735683" w14:textId="521791E5" w:rsidR="008C10B0" w:rsidRDefault="00903CC7"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w:t>
            </w:r>
            <w:r w:rsidR="008114B3">
              <w:rPr>
                <w:rFonts w:ascii="Arial" w:eastAsia="Times New Roman" w:hAnsi="Arial" w:cs="Arial"/>
                <w:b/>
                <w:bCs/>
                <w:color w:val="000000"/>
                <w:sz w:val="16"/>
                <w:szCs w:val="16"/>
                <w:lang w:eastAsia="es-MX"/>
              </w:rPr>
              <w:t>4</w:t>
            </w:r>
          </w:p>
        </w:tc>
      </w:tr>
      <w:tr w:rsidR="008C10B0" w:rsidRPr="00450621" w14:paraId="29EC8701" w14:textId="77777777" w:rsidTr="008C10B0">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579EA5B2" w14:textId="77777777" w:rsidR="008C10B0" w:rsidRPr="00450621" w:rsidRDefault="008C10B0" w:rsidP="008C10B0">
            <w:pPr>
              <w:spacing w:after="0" w:line="240" w:lineRule="auto"/>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Resultados del Ejercicio Ahorro/Desahorro</w:t>
            </w:r>
          </w:p>
        </w:tc>
        <w:tc>
          <w:tcPr>
            <w:tcW w:w="1318" w:type="dxa"/>
            <w:tcBorders>
              <w:top w:val="nil"/>
              <w:left w:val="nil"/>
              <w:bottom w:val="single" w:sz="4" w:space="0" w:color="000000"/>
              <w:right w:val="single" w:sz="4" w:space="0" w:color="000000"/>
            </w:tcBorders>
            <w:shd w:val="clear" w:color="000000" w:fill="FFFFFF"/>
            <w:vAlign w:val="bottom"/>
            <w:hideMark/>
          </w:tcPr>
          <w:p w14:paraId="7C4781FD" w14:textId="1CB2F2BA" w:rsidR="008C10B0" w:rsidRPr="00450621" w:rsidRDefault="004324BB"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3,648,840,701</w:t>
            </w:r>
          </w:p>
        </w:tc>
        <w:tc>
          <w:tcPr>
            <w:tcW w:w="1267" w:type="dxa"/>
            <w:tcBorders>
              <w:top w:val="nil"/>
              <w:left w:val="nil"/>
              <w:bottom w:val="single" w:sz="4" w:space="0" w:color="000000"/>
              <w:right w:val="single" w:sz="4" w:space="0" w:color="000000"/>
            </w:tcBorders>
            <w:shd w:val="clear" w:color="000000" w:fill="FFFFFF"/>
          </w:tcPr>
          <w:p w14:paraId="5E52CF6E" w14:textId="5458EAF5" w:rsidR="008C10B0" w:rsidRDefault="008A338A"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2,202,659,488</w:t>
            </w:r>
          </w:p>
        </w:tc>
      </w:tr>
      <w:tr w:rsidR="008C10B0" w:rsidRPr="00450621" w14:paraId="1E892814"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203F53F"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Movimientos de partidas (o rubros) que no afectan al efectivo</w:t>
            </w:r>
          </w:p>
        </w:tc>
        <w:tc>
          <w:tcPr>
            <w:tcW w:w="1318" w:type="dxa"/>
            <w:tcBorders>
              <w:top w:val="nil"/>
              <w:left w:val="nil"/>
              <w:bottom w:val="single" w:sz="4" w:space="0" w:color="000000"/>
              <w:right w:val="single" w:sz="4" w:space="0" w:color="000000"/>
            </w:tcBorders>
            <w:shd w:val="clear" w:color="000000" w:fill="FFFFFF"/>
            <w:hideMark/>
          </w:tcPr>
          <w:p w14:paraId="1CE46175"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007B8AD1"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6067FB5C"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ED34AEE"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Depreciación</w:t>
            </w:r>
          </w:p>
        </w:tc>
        <w:tc>
          <w:tcPr>
            <w:tcW w:w="1318" w:type="dxa"/>
            <w:tcBorders>
              <w:top w:val="nil"/>
              <w:left w:val="nil"/>
              <w:bottom w:val="single" w:sz="4" w:space="0" w:color="000000"/>
              <w:right w:val="single" w:sz="4" w:space="0" w:color="000000"/>
            </w:tcBorders>
            <w:shd w:val="clear" w:color="000000" w:fill="FFFFFF"/>
            <w:hideMark/>
          </w:tcPr>
          <w:p w14:paraId="5AEE4C43"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02F08697"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8E3C48" w14:paraId="71512835"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022F495"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Amortización</w:t>
            </w:r>
          </w:p>
        </w:tc>
        <w:tc>
          <w:tcPr>
            <w:tcW w:w="1318" w:type="dxa"/>
            <w:tcBorders>
              <w:top w:val="nil"/>
              <w:left w:val="nil"/>
              <w:bottom w:val="single" w:sz="4" w:space="0" w:color="000000"/>
              <w:right w:val="single" w:sz="4" w:space="0" w:color="000000"/>
            </w:tcBorders>
            <w:shd w:val="clear" w:color="000000" w:fill="FFFFFF"/>
            <w:hideMark/>
          </w:tcPr>
          <w:p w14:paraId="280DC1C9" w14:textId="77777777" w:rsidR="008C10B0" w:rsidRPr="008E3C48"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32D004B3" w14:textId="77777777" w:rsidR="008C10B0" w:rsidRPr="008E3C48" w:rsidRDefault="008C10B0" w:rsidP="008C10B0">
            <w:pPr>
              <w:spacing w:after="0" w:line="240" w:lineRule="auto"/>
              <w:jc w:val="right"/>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0</w:t>
            </w:r>
          </w:p>
        </w:tc>
      </w:tr>
      <w:tr w:rsidR="008C10B0" w:rsidRPr="00450621" w14:paraId="2C1BE81A"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18069A5"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Incrementos en las provisiones</w:t>
            </w:r>
          </w:p>
        </w:tc>
        <w:tc>
          <w:tcPr>
            <w:tcW w:w="1318" w:type="dxa"/>
            <w:tcBorders>
              <w:top w:val="nil"/>
              <w:left w:val="nil"/>
              <w:bottom w:val="single" w:sz="4" w:space="0" w:color="000000"/>
              <w:right w:val="single" w:sz="4" w:space="0" w:color="000000"/>
            </w:tcBorders>
            <w:shd w:val="clear" w:color="000000" w:fill="FFFFFF"/>
            <w:hideMark/>
          </w:tcPr>
          <w:p w14:paraId="4661CA77"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30A103CF" w14:textId="77777777" w:rsidR="008C10B0"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4889B83A"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5A4075C"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 en inversiones producido por revaluación</w:t>
            </w:r>
          </w:p>
        </w:tc>
        <w:tc>
          <w:tcPr>
            <w:tcW w:w="1318" w:type="dxa"/>
            <w:tcBorders>
              <w:top w:val="nil"/>
              <w:left w:val="nil"/>
              <w:bottom w:val="single" w:sz="4" w:space="0" w:color="000000"/>
              <w:right w:val="single" w:sz="4" w:space="0" w:color="000000"/>
            </w:tcBorders>
            <w:shd w:val="clear" w:color="000000" w:fill="FFFFFF"/>
            <w:hideMark/>
          </w:tcPr>
          <w:p w14:paraId="40BB2D10"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67BC9414"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4F33FA51"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66D77AA"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lastRenderedPageBreak/>
              <w:t>Ganancia/pérdida en venta de bienes muebles, inmuebles e intangibles</w:t>
            </w:r>
          </w:p>
        </w:tc>
        <w:tc>
          <w:tcPr>
            <w:tcW w:w="1318" w:type="dxa"/>
            <w:tcBorders>
              <w:top w:val="nil"/>
              <w:left w:val="nil"/>
              <w:bottom w:val="single" w:sz="4" w:space="0" w:color="000000"/>
              <w:right w:val="single" w:sz="4" w:space="0" w:color="000000"/>
            </w:tcBorders>
            <w:shd w:val="clear" w:color="000000" w:fill="FFFFFF"/>
            <w:hideMark/>
          </w:tcPr>
          <w:p w14:paraId="1094927F"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2EC4CE88"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7FE54D37"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816D723"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 en cuentas por cobrar</w:t>
            </w:r>
          </w:p>
        </w:tc>
        <w:tc>
          <w:tcPr>
            <w:tcW w:w="1318" w:type="dxa"/>
            <w:tcBorders>
              <w:top w:val="nil"/>
              <w:left w:val="nil"/>
              <w:bottom w:val="single" w:sz="4" w:space="0" w:color="000000"/>
              <w:right w:val="single" w:sz="4" w:space="0" w:color="000000"/>
            </w:tcBorders>
            <w:shd w:val="clear" w:color="000000" w:fill="FFFFFF"/>
            <w:hideMark/>
          </w:tcPr>
          <w:p w14:paraId="3F4807CC"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495FEBC9"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2D3316E9" w14:textId="77777777" w:rsidTr="008C10B0">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1AD036F6" w14:textId="77777777" w:rsidR="008C10B0" w:rsidRPr="00450621" w:rsidRDefault="008C10B0" w:rsidP="008C10B0">
            <w:pPr>
              <w:spacing w:after="0" w:line="240" w:lineRule="auto"/>
              <w:jc w:val="center"/>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Flujos de Efectivo Netos de las Actividades de Operación</w:t>
            </w:r>
          </w:p>
        </w:tc>
        <w:tc>
          <w:tcPr>
            <w:tcW w:w="1318" w:type="dxa"/>
            <w:tcBorders>
              <w:top w:val="nil"/>
              <w:left w:val="nil"/>
              <w:bottom w:val="single" w:sz="4" w:space="0" w:color="000000"/>
              <w:right w:val="single" w:sz="4" w:space="0" w:color="000000"/>
            </w:tcBorders>
            <w:shd w:val="clear" w:color="000000" w:fill="D3D3D3"/>
            <w:vAlign w:val="bottom"/>
            <w:hideMark/>
          </w:tcPr>
          <w:p w14:paraId="608A1697" w14:textId="77777777" w:rsidR="00B461D7" w:rsidRDefault="00B461D7" w:rsidP="008C10B0">
            <w:pPr>
              <w:spacing w:after="0" w:line="240" w:lineRule="auto"/>
              <w:jc w:val="right"/>
              <w:rPr>
                <w:rFonts w:ascii="Arial" w:eastAsia="Times New Roman" w:hAnsi="Arial" w:cs="Arial"/>
                <w:b/>
                <w:bCs/>
                <w:color w:val="000000"/>
                <w:sz w:val="16"/>
                <w:szCs w:val="16"/>
                <w:lang w:eastAsia="es-MX"/>
              </w:rPr>
            </w:pPr>
          </w:p>
          <w:p w14:paraId="5C071F9C" w14:textId="2F11FFAB" w:rsidR="008C10B0" w:rsidRDefault="004324BB"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3,</w:t>
            </w:r>
            <w:r w:rsidR="00A60254">
              <w:rPr>
                <w:rFonts w:ascii="Arial" w:eastAsia="Times New Roman" w:hAnsi="Arial" w:cs="Arial"/>
                <w:b/>
                <w:bCs/>
                <w:color w:val="000000"/>
                <w:sz w:val="16"/>
                <w:szCs w:val="16"/>
                <w:lang w:eastAsia="es-MX"/>
              </w:rPr>
              <w:t>648,840,701</w:t>
            </w:r>
          </w:p>
          <w:p w14:paraId="40D93822" w14:textId="4ED90BCF" w:rsidR="008C5356" w:rsidRPr="00450621" w:rsidRDefault="008C5356" w:rsidP="008C10B0">
            <w:pPr>
              <w:spacing w:after="0" w:line="240" w:lineRule="auto"/>
              <w:jc w:val="right"/>
              <w:rPr>
                <w:rFonts w:ascii="Arial" w:eastAsia="Times New Roman" w:hAnsi="Arial" w:cs="Arial"/>
                <w:b/>
                <w:bCs/>
                <w:color w:val="000000"/>
                <w:sz w:val="16"/>
                <w:szCs w:val="16"/>
                <w:lang w:eastAsia="es-MX"/>
              </w:rPr>
            </w:pPr>
          </w:p>
        </w:tc>
        <w:tc>
          <w:tcPr>
            <w:tcW w:w="1267" w:type="dxa"/>
            <w:tcBorders>
              <w:top w:val="nil"/>
              <w:left w:val="nil"/>
              <w:bottom w:val="single" w:sz="4" w:space="0" w:color="000000"/>
              <w:right w:val="single" w:sz="4" w:space="0" w:color="000000"/>
            </w:tcBorders>
            <w:shd w:val="clear" w:color="000000" w:fill="D3D3D3"/>
          </w:tcPr>
          <w:p w14:paraId="65CFBF50" w14:textId="77777777" w:rsidR="00B461D7" w:rsidRDefault="00B461D7" w:rsidP="008C10B0">
            <w:pPr>
              <w:spacing w:after="0" w:line="240" w:lineRule="auto"/>
              <w:jc w:val="right"/>
              <w:rPr>
                <w:rFonts w:ascii="Arial" w:eastAsia="Times New Roman" w:hAnsi="Arial" w:cs="Arial"/>
                <w:b/>
                <w:bCs/>
                <w:color w:val="000000"/>
                <w:sz w:val="16"/>
                <w:szCs w:val="16"/>
                <w:lang w:eastAsia="es-MX"/>
              </w:rPr>
            </w:pPr>
          </w:p>
          <w:p w14:paraId="684B561A" w14:textId="2C918609" w:rsidR="008C10B0" w:rsidRDefault="008A338A"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2,202,659,488</w:t>
            </w:r>
          </w:p>
        </w:tc>
      </w:tr>
    </w:tbl>
    <w:p w14:paraId="1C02BEF7" w14:textId="77777777" w:rsidR="008C10B0" w:rsidRDefault="008C10B0" w:rsidP="008C10B0">
      <w:pPr>
        <w:pStyle w:val="INCISO"/>
        <w:tabs>
          <w:tab w:val="left" w:pos="284"/>
        </w:tabs>
        <w:spacing w:after="0" w:line="276" w:lineRule="auto"/>
        <w:ind w:left="284" w:firstLine="0"/>
        <w:rPr>
          <w:b/>
          <w:smallCaps/>
        </w:rPr>
      </w:pPr>
    </w:p>
    <w:p w14:paraId="3064C6CC" w14:textId="77777777" w:rsidR="008C10B0" w:rsidRDefault="008C10B0" w:rsidP="008C10B0">
      <w:pPr>
        <w:pStyle w:val="INCISO"/>
        <w:tabs>
          <w:tab w:val="left" w:pos="284"/>
        </w:tabs>
        <w:spacing w:after="0" w:line="276" w:lineRule="auto"/>
        <w:ind w:left="284" w:firstLine="0"/>
        <w:rPr>
          <w:b/>
          <w:smallCaps/>
        </w:rPr>
      </w:pPr>
    </w:p>
    <w:p w14:paraId="252B5B60" w14:textId="77777777" w:rsidR="008C10B0" w:rsidRPr="0073056A" w:rsidRDefault="008C10B0" w:rsidP="008C10B0">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14:paraId="0B5D2E7F" w14:textId="77777777" w:rsidR="008C10B0" w:rsidRPr="0073056A" w:rsidRDefault="008C10B0" w:rsidP="008C10B0">
      <w:pPr>
        <w:pStyle w:val="Texto"/>
        <w:tabs>
          <w:tab w:val="left" w:pos="284"/>
        </w:tabs>
        <w:spacing w:after="0" w:line="276" w:lineRule="auto"/>
        <w:ind w:left="284" w:firstLine="0"/>
        <w:jc w:val="center"/>
        <w:rPr>
          <w:b/>
          <w:smallCaps/>
          <w:szCs w:val="18"/>
          <w:lang w:val="es-MX"/>
        </w:rPr>
      </w:pPr>
    </w:p>
    <w:p w14:paraId="10CD6F98" w14:textId="77777777" w:rsidR="008C10B0" w:rsidRPr="0073056A" w:rsidRDefault="008C10B0" w:rsidP="008C10B0">
      <w:pPr>
        <w:pStyle w:val="Texto"/>
        <w:tabs>
          <w:tab w:val="left" w:pos="284"/>
        </w:tabs>
        <w:spacing w:after="0" w:line="276" w:lineRule="auto"/>
        <w:ind w:left="284" w:firstLine="0"/>
        <w:rPr>
          <w:szCs w:val="18"/>
          <w:lang w:val="es-MX"/>
        </w:rPr>
      </w:pPr>
      <w:r w:rsidRPr="0073056A">
        <w:rPr>
          <w:szCs w:val="18"/>
          <w:lang w:val="es-MX"/>
        </w:rPr>
        <w:t xml:space="preserve">La conciliación se presentará atendiendo a lo dispuesto por </w:t>
      </w:r>
      <w:r>
        <w:rPr>
          <w:szCs w:val="18"/>
          <w:lang w:val="es-MX"/>
        </w:rPr>
        <w:t>el</w:t>
      </w:r>
      <w:r w:rsidRPr="0073056A">
        <w:rPr>
          <w:szCs w:val="18"/>
          <w:lang w:val="es-MX"/>
        </w:rPr>
        <w:t xml:space="preserve"> Acuerdo por el que se emite el formato de conciliación entre los ingresos presupuestarios y contables, así como entre los egresos presupuestarios y los gastos contables.</w:t>
      </w:r>
    </w:p>
    <w:p w14:paraId="343EC933" w14:textId="77777777" w:rsidR="008C10B0" w:rsidRDefault="008C10B0" w:rsidP="008C10B0">
      <w:pPr>
        <w:rPr>
          <w:lang w:eastAsia="es-ES"/>
        </w:rPr>
      </w:pPr>
    </w:p>
    <w:p w14:paraId="67B97F18" w14:textId="5AC17F97" w:rsidR="008C10B0" w:rsidRPr="006942ED" w:rsidRDefault="00000000" w:rsidP="008C10B0">
      <w:pPr>
        <w:rPr>
          <w:lang w:eastAsia="es-ES"/>
        </w:rPr>
      </w:pPr>
      <w:r>
        <w:rPr>
          <w:noProof/>
          <w:lang w:eastAsia="es-ES"/>
        </w:rPr>
        <w:object w:dxaOrig="1440" w:dyaOrig="1440" w14:anchorId="08E2FB0E">
          <v:shape id="_x0000_s2107" type="#_x0000_t75" style="position:absolute;margin-left:-52.55pt;margin-top:22.45pt;width:573.6pt;height:351pt;z-index:251671552">
            <v:imagedata r:id="rId33" o:title=""/>
            <w10:wrap type="topAndBottom"/>
          </v:shape>
          <o:OLEObject Type="Embed" ProgID="Excel.Sheet.12" ShapeID="_x0000_s2107" DrawAspect="Content" ObjectID="_1822058829" r:id="rId34"/>
        </w:object>
      </w:r>
    </w:p>
    <w:p w14:paraId="524DA631" w14:textId="77777777" w:rsidR="008C10B0" w:rsidRDefault="008C10B0" w:rsidP="008C10B0">
      <w:pPr>
        <w:ind w:firstLine="708"/>
        <w:rPr>
          <w:lang w:eastAsia="es-ES"/>
        </w:rPr>
      </w:pPr>
    </w:p>
    <w:p w14:paraId="07ED83EA" w14:textId="4F9C2B4E" w:rsidR="008C10B0" w:rsidRDefault="008C10B0" w:rsidP="008C10B0">
      <w:pPr>
        <w:ind w:firstLine="708"/>
        <w:rPr>
          <w:lang w:eastAsia="es-ES"/>
        </w:rPr>
      </w:pPr>
    </w:p>
    <w:p w14:paraId="3CF52362" w14:textId="77777777" w:rsidR="001F1751" w:rsidRDefault="001F1751" w:rsidP="008C10B0">
      <w:pPr>
        <w:ind w:firstLine="708"/>
        <w:rPr>
          <w:lang w:eastAsia="es-ES"/>
        </w:rPr>
      </w:pPr>
    </w:p>
    <w:p w14:paraId="7B4EA88D" w14:textId="77777777" w:rsidR="001F1751" w:rsidRDefault="001F1751" w:rsidP="008C10B0">
      <w:pPr>
        <w:ind w:firstLine="708"/>
        <w:rPr>
          <w:lang w:eastAsia="es-ES"/>
        </w:rPr>
      </w:pPr>
    </w:p>
    <w:p w14:paraId="42A0476E" w14:textId="77777777" w:rsidR="001F1751" w:rsidRDefault="001F1751" w:rsidP="008C10B0">
      <w:pPr>
        <w:ind w:firstLine="708"/>
        <w:rPr>
          <w:lang w:eastAsia="es-ES"/>
        </w:rPr>
      </w:pPr>
    </w:p>
    <w:p w14:paraId="6D358453" w14:textId="77777777" w:rsidR="001F1751" w:rsidRDefault="001F1751" w:rsidP="008C10B0">
      <w:pPr>
        <w:ind w:firstLine="708"/>
        <w:rPr>
          <w:lang w:eastAsia="es-ES"/>
        </w:rPr>
      </w:pPr>
    </w:p>
    <w:p w14:paraId="15BA7584" w14:textId="77777777" w:rsidR="001F1751" w:rsidRDefault="001F1751" w:rsidP="008C10B0">
      <w:pPr>
        <w:ind w:firstLine="708"/>
        <w:rPr>
          <w:lang w:eastAsia="es-ES"/>
        </w:rPr>
      </w:pPr>
    </w:p>
    <w:p w14:paraId="50E401C6" w14:textId="53419E16" w:rsidR="001F1751" w:rsidRDefault="00000000" w:rsidP="008C10B0">
      <w:pPr>
        <w:ind w:firstLine="708"/>
        <w:rPr>
          <w:lang w:eastAsia="es-ES"/>
        </w:rPr>
      </w:pPr>
      <w:r>
        <w:rPr>
          <w:noProof/>
          <w:lang w:eastAsia="es-ES"/>
        </w:rPr>
        <w:object w:dxaOrig="1440" w:dyaOrig="1440" w14:anchorId="06C5EE27">
          <v:shape id="_x0000_s2109" type="#_x0000_t75" style="position:absolute;left:0;text-align:left;margin-left:-35.7pt;margin-top:61.9pt;width:539.65pt;height:509.2pt;z-index:251672576">
            <v:imagedata r:id="rId35" o:title=""/>
            <w10:wrap type="topAndBottom"/>
          </v:shape>
          <o:OLEObject Type="Embed" ProgID="Excel.Sheet.12" ShapeID="_x0000_s2109" DrawAspect="Content" ObjectID="_1822058830" r:id="rId36"/>
        </w:object>
      </w:r>
    </w:p>
    <w:p w14:paraId="3DEA60E1" w14:textId="77777777" w:rsidR="008C10B0" w:rsidRPr="006942ED" w:rsidRDefault="008C10B0" w:rsidP="008C10B0">
      <w:pPr>
        <w:ind w:firstLine="708"/>
        <w:rPr>
          <w:lang w:eastAsia="es-ES"/>
        </w:rPr>
      </w:pPr>
    </w:p>
    <w:p w14:paraId="63936C68" w14:textId="77777777" w:rsidR="008C10B0" w:rsidRDefault="008C10B0" w:rsidP="008C10B0">
      <w:pPr>
        <w:pStyle w:val="Texto"/>
        <w:tabs>
          <w:tab w:val="left" w:pos="284"/>
        </w:tabs>
        <w:spacing w:after="0" w:line="276" w:lineRule="auto"/>
        <w:ind w:left="284" w:firstLine="0"/>
        <w:jc w:val="center"/>
        <w:rPr>
          <w:b/>
          <w:szCs w:val="18"/>
        </w:rPr>
      </w:pPr>
    </w:p>
    <w:p w14:paraId="29B2B55D" w14:textId="77777777" w:rsidR="008C10B0" w:rsidRDefault="008C10B0" w:rsidP="008C10B0">
      <w:pPr>
        <w:pStyle w:val="Texto"/>
        <w:tabs>
          <w:tab w:val="left" w:pos="284"/>
        </w:tabs>
        <w:spacing w:after="0" w:line="276" w:lineRule="auto"/>
        <w:ind w:left="284" w:firstLine="0"/>
        <w:jc w:val="center"/>
        <w:rPr>
          <w:b/>
          <w:szCs w:val="18"/>
        </w:rPr>
      </w:pPr>
    </w:p>
    <w:p w14:paraId="47E4739F" w14:textId="77777777" w:rsidR="008C10B0" w:rsidRDefault="008C10B0" w:rsidP="008C10B0">
      <w:pPr>
        <w:pStyle w:val="Texto"/>
        <w:tabs>
          <w:tab w:val="left" w:pos="284"/>
        </w:tabs>
        <w:spacing w:after="0" w:line="276" w:lineRule="auto"/>
        <w:ind w:left="284" w:firstLine="0"/>
        <w:jc w:val="center"/>
        <w:rPr>
          <w:b/>
          <w:szCs w:val="18"/>
        </w:rPr>
      </w:pPr>
    </w:p>
    <w:p w14:paraId="22347581" w14:textId="77777777" w:rsidR="008C10B0" w:rsidRDefault="008C10B0" w:rsidP="008C10B0">
      <w:pPr>
        <w:pStyle w:val="Texto"/>
        <w:tabs>
          <w:tab w:val="left" w:pos="284"/>
        </w:tabs>
        <w:spacing w:after="0" w:line="276" w:lineRule="auto"/>
        <w:ind w:left="284" w:firstLine="0"/>
        <w:jc w:val="center"/>
        <w:rPr>
          <w:b/>
          <w:szCs w:val="18"/>
        </w:rPr>
      </w:pPr>
    </w:p>
    <w:p w14:paraId="752996B3" w14:textId="77777777" w:rsidR="00A031F9" w:rsidRDefault="00A031F9" w:rsidP="008C10B0">
      <w:pPr>
        <w:pStyle w:val="Texto"/>
        <w:tabs>
          <w:tab w:val="left" w:pos="284"/>
        </w:tabs>
        <w:spacing w:after="0" w:line="276" w:lineRule="auto"/>
        <w:ind w:left="284" w:firstLine="0"/>
        <w:jc w:val="center"/>
        <w:rPr>
          <w:b/>
          <w:szCs w:val="18"/>
        </w:rPr>
      </w:pPr>
    </w:p>
    <w:p w14:paraId="518C8811" w14:textId="77777777" w:rsidR="008C10B0" w:rsidRDefault="008C10B0" w:rsidP="008C10B0">
      <w:pPr>
        <w:pStyle w:val="Texto"/>
        <w:tabs>
          <w:tab w:val="left" w:pos="284"/>
        </w:tabs>
        <w:spacing w:after="0" w:line="276" w:lineRule="auto"/>
        <w:ind w:left="284" w:firstLine="0"/>
        <w:jc w:val="center"/>
        <w:rPr>
          <w:b/>
          <w:szCs w:val="18"/>
        </w:rPr>
      </w:pPr>
    </w:p>
    <w:p w14:paraId="174CC27B" w14:textId="77777777" w:rsidR="008C10B0" w:rsidRDefault="008C10B0" w:rsidP="008C10B0">
      <w:pPr>
        <w:pStyle w:val="Texto"/>
        <w:tabs>
          <w:tab w:val="left" w:pos="284"/>
        </w:tabs>
        <w:spacing w:after="0" w:line="276" w:lineRule="auto"/>
        <w:ind w:left="284" w:firstLine="0"/>
        <w:jc w:val="center"/>
        <w:rPr>
          <w:b/>
          <w:szCs w:val="18"/>
        </w:rPr>
      </w:pPr>
    </w:p>
    <w:p w14:paraId="51D05453" w14:textId="77777777" w:rsidR="00406912" w:rsidRDefault="00406912" w:rsidP="008C10B0">
      <w:pPr>
        <w:pStyle w:val="Texto"/>
        <w:tabs>
          <w:tab w:val="left" w:pos="284"/>
        </w:tabs>
        <w:spacing w:after="0" w:line="276" w:lineRule="auto"/>
        <w:ind w:left="284" w:firstLine="0"/>
        <w:jc w:val="center"/>
        <w:rPr>
          <w:b/>
          <w:szCs w:val="18"/>
        </w:rPr>
      </w:pPr>
    </w:p>
    <w:p w14:paraId="76CD950A" w14:textId="31BA4405" w:rsidR="008C10B0" w:rsidRPr="0073056A" w:rsidRDefault="008C10B0" w:rsidP="008C10B0">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14:paraId="47DB8EDA" w14:textId="77777777" w:rsidR="008C10B0" w:rsidRPr="0073056A" w:rsidRDefault="008C10B0" w:rsidP="008C10B0">
      <w:pPr>
        <w:pStyle w:val="Texto"/>
        <w:tabs>
          <w:tab w:val="left" w:pos="284"/>
        </w:tabs>
        <w:spacing w:after="0" w:line="276" w:lineRule="auto"/>
        <w:ind w:left="284" w:firstLine="0"/>
        <w:rPr>
          <w:b/>
          <w:szCs w:val="18"/>
          <w:lang w:val="es-MX"/>
        </w:rPr>
      </w:pPr>
    </w:p>
    <w:p w14:paraId="4D042287" w14:textId="77777777" w:rsidR="008C10B0" w:rsidRPr="0073056A" w:rsidRDefault="008C10B0" w:rsidP="008C10B0">
      <w:pPr>
        <w:pStyle w:val="Texto"/>
        <w:tabs>
          <w:tab w:val="left" w:pos="284"/>
        </w:tabs>
        <w:spacing w:after="0" w:line="276" w:lineRule="auto"/>
        <w:ind w:left="284" w:firstLine="0"/>
        <w:rPr>
          <w:b/>
          <w:szCs w:val="18"/>
          <w:lang w:val="es-MX"/>
        </w:rPr>
      </w:pPr>
    </w:p>
    <w:p w14:paraId="32AD6D03" w14:textId="77777777" w:rsidR="008C10B0" w:rsidRPr="0073056A" w:rsidRDefault="008C10B0" w:rsidP="008C10B0">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423BC902" w14:textId="77777777" w:rsidR="008C10B0" w:rsidRDefault="008C10B0" w:rsidP="008C10B0">
      <w:pPr>
        <w:tabs>
          <w:tab w:val="left" w:pos="284"/>
        </w:tabs>
        <w:ind w:left="284"/>
        <w:jc w:val="both"/>
        <w:rPr>
          <w:rFonts w:ascii="Arial" w:hAnsi="Arial" w:cs="Arial"/>
          <w:b/>
          <w:sz w:val="18"/>
          <w:szCs w:val="18"/>
        </w:rPr>
      </w:pPr>
    </w:p>
    <w:p w14:paraId="0A9B1F0E" w14:textId="77777777" w:rsidR="008C10B0" w:rsidRPr="0073056A" w:rsidRDefault="008C10B0" w:rsidP="008C10B0">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14:paraId="7C0320F1" w14:textId="75EAE514" w:rsidR="008C10B0" w:rsidRDefault="0078137F" w:rsidP="008C10B0">
      <w:pPr>
        <w:tabs>
          <w:tab w:val="left" w:pos="284"/>
        </w:tabs>
        <w:ind w:left="284"/>
        <w:jc w:val="both"/>
        <w:rPr>
          <w:rFonts w:ascii="Arial" w:hAnsi="Arial" w:cs="Arial"/>
          <w:sz w:val="18"/>
          <w:szCs w:val="18"/>
        </w:rPr>
      </w:pPr>
      <w:r>
        <w:rPr>
          <w:rFonts w:ascii="Arial" w:hAnsi="Arial" w:cs="Arial"/>
          <w:sz w:val="18"/>
          <w:szCs w:val="18"/>
        </w:rPr>
        <w:t xml:space="preserve">Al mes de </w:t>
      </w:r>
      <w:r w:rsidR="0007127C">
        <w:rPr>
          <w:rFonts w:ascii="Arial" w:hAnsi="Arial" w:cs="Arial"/>
          <w:sz w:val="18"/>
          <w:szCs w:val="18"/>
        </w:rPr>
        <w:t>septiembre</w:t>
      </w:r>
      <w:r w:rsidR="008C10B0">
        <w:rPr>
          <w:rFonts w:ascii="Arial" w:hAnsi="Arial" w:cs="Arial"/>
          <w:sz w:val="18"/>
          <w:szCs w:val="18"/>
        </w:rPr>
        <w:t xml:space="preserve"> del</w:t>
      </w:r>
      <w:r>
        <w:rPr>
          <w:rFonts w:ascii="Arial" w:hAnsi="Arial" w:cs="Arial"/>
          <w:sz w:val="18"/>
          <w:szCs w:val="18"/>
        </w:rPr>
        <w:t xml:space="preserve"> 2025</w:t>
      </w:r>
      <w:r w:rsidR="008C10B0">
        <w:rPr>
          <w:rFonts w:ascii="Arial" w:hAnsi="Arial" w:cs="Arial"/>
          <w:sz w:val="18"/>
          <w:szCs w:val="18"/>
        </w:rPr>
        <w:t xml:space="preserve"> el Poder Ejecutivo no cuenta con Cuentas de Orden Contables.</w:t>
      </w:r>
    </w:p>
    <w:p w14:paraId="1F13BAFC" w14:textId="77777777" w:rsidR="008C10B0" w:rsidRPr="0073056A" w:rsidRDefault="008C10B0" w:rsidP="008C10B0">
      <w:pPr>
        <w:tabs>
          <w:tab w:val="left" w:pos="284"/>
        </w:tabs>
        <w:ind w:left="284"/>
        <w:jc w:val="both"/>
        <w:rPr>
          <w:rFonts w:ascii="Arial" w:hAnsi="Arial" w:cs="Arial"/>
          <w:sz w:val="18"/>
          <w:szCs w:val="18"/>
        </w:rPr>
      </w:pPr>
    </w:p>
    <w:p w14:paraId="52F90BB8" w14:textId="77777777" w:rsidR="008C10B0" w:rsidRPr="0073056A" w:rsidRDefault="008C10B0" w:rsidP="008C10B0">
      <w:pPr>
        <w:tabs>
          <w:tab w:val="left" w:pos="284"/>
        </w:tabs>
        <w:ind w:left="284"/>
        <w:jc w:val="both"/>
        <w:rPr>
          <w:rFonts w:ascii="Arial" w:hAnsi="Arial" w:cs="Arial"/>
          <w:b/>
          <w:sz w:val="18"/>
          <w:szCs w:val="18"/>
        </w:rPr>
      </w:pPr>
      <w:r w:rsidRPr="002640DB">
        <w:rPr>
          <w:rFonts w:ascii="Arial" w:hAnsi="Arial" w:cs="Arial"/>
          <w:b/>
          <w:sz w:val="18"/>
          <w:szCs w:val="18"/>
        </w:rPr>
        <w:t>Cuentas de Orden Presupuestales</w:t>
      </w:r>
    </w:p>
    <w:p w14:paraId="37437832"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el Estado de Actividades del Gobierno del Estado presenta el Saldo del periodo de las Cuentas Presupuestales del Ingreso y del Egreso.</w:t>
      </w:r>
    </w:p>
    <w:p w14:paraId="3266F4A6" w14:textId="77777777" w:rsidR="008C10B0" w:rsidRDefault="008C10B0" w:rsidP="008C10B0">
      <w:pPr>
        <w:spacing w:after="0"/>
        <w:jc w:val="center"/>
        <w:rPr>
          <w:rFonts w:ascii="Arial" w:hAnsi="Arial" w:cs="Arial"/>
          <w:sz w:val="18"/>
          <w:szCs w:val="18"/>
        </w:rPr>
      </w:pPr>
    </w:p>
    <w:p w14:paraId="32C46005" w14:textId="77777777" w:rsidR="008C10B0" w:rsidRDefault="008C10B0" w:rsidP="008C10B0">
      <w:pPr>
        <w:spacing w:after="0"/>
        <w:jc w:val="center"/>
        <w:rPr>
          <w:rFonts w:ascii="Arial" w:hAnsi="Arial" w:cs="Arial"/>
          <w:sz w:val="18"/>
          <w:szCs w:val="18"/>
        </w:rPr>
      </w:pPr>
    </w:p>
    <w:tbl>
      <w:tblPr>
        <w:tblW w:w="0" w:type="auto"/>
        <w:jc w:val="center"/>
        <w:tblLayout w:type="fixed"/>
        <w:tblLook w:val="0000" w:firstRow="0" w:lastRow="0" w:firstColumn="0" w:lastColumn="0" w:noHBand="0" w:noVBand="0"/>
      </w:tblPr>
      <w:tblGrid>
        <w:gridCol w:w="5570"/>
        <w:gridCol w:w="1743"/>
      </w:tblGrid>
      <w:tr w:rsidR="008C10B0" w:rsidRPr="00450621" w14:paraId="6482CF64"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32A45FE2"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Cuentas de Orden Presupuestarias de Ingresos</w:t>
            </w:r>
          </w:p>
        </w:tc>
        <w:tc>
          <w:tcPr>
            <w:tcW w:w="1743" w:type="dxa"/>
            <w:tcBorders>
              <w:top w:val="single" w:sz="6" w:space="0" w:color="auto"/>
              <w:left w:val="single" w:sz="6" w:space="0" w:color="auto"/>
              <w:bottom w:val="single" w:sz="6" w:space="0" w:color="auto"/>
              <w:right w:val="single" w:sz="6" w:space="0" w:color="auto"/>
            </w:tcBorders>
          </w:tcPr>
          <w:p w14:paraId="66FF2030"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p>
        </w:tc>
      </w:tr>
      <w:tr w:rsidR="008C10B0" w:rsidRPr="00450621" w14:paraId="17BE0DB9"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095B1622"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743" w:type="dxa"/>
            <w:tcBorders>
              <w:top w:val="single" w:sz="6" w:space="0" w:color="auto"/>
              <w:left w:val="single" w:sz="6" w:space="0" w:color="auto"/>
              <w:bottom w:val="single" w:sz="6" w:space="0" w:color="auto"/>
              <w:right w:val="single" w:sz="6" w:space="0" w:color="auto"/>
            </w:tcBorders>
          </w:tcPr>
          <w:p w14:paraId="066CD1EC" w14:textId="4BCB5BF2" w:rsidR="008C10B0" w:rsidRPr="00DA460F" w:rsidRDefault="0078137F" w:rsidP="008C10B0">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2025</w:t>
            </w:r>
          </w:p>
        </w:tc>
      </w:tr>
      <w:tr w:rsidR="008C10B0" w:rsidRPr="00450621" w14:paraId="74B43CA0"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71213484"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Estimada</w:t>
            </w:r>
          </w:p>
        </w:tc>
        <w:tc>
          <w:tcPr>
            <w:tcW w:w="1743" w:type="dxa"/>
            <w:tcBorders>
              <w:top w:val="single" w:sz="6" w:space="0" w:color="auto"/>
              <w:left w:val="single" w:sz="6" w:space="0" w:color="auto"/>
              <w:bottom w:val="single" w:sz="6" w:space="0" w:color="auto"/>
              <w:right w:val="single" w:sz="6" w:space="0" w:color="auto"/>
            </w:tcBorders>
          </w:tcPr>
          <w:p w14:paraId="21E8A2A4" w14:textId="6C68D8EA" w:rsidR="008C10B0" w:rsidRPr="00450621" w:rsidRDefault="00F26095"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20,824,</w:t>
            </w:r>
            <w:r w:rsidR="00D3150C">
              <w:rPr>
                <w:rFonts w:ascii="Arial" w:eastAsia="Times New Roman" w:hAnsi="Arial" w:cs="Arial"/>
                <w:sz w:val="18"/>
                <w:szCs w:val="18"/>
                <w:lang w:eastAsia="es-ES"/>
              </w:rPr>
              <w:t>240,444</w:t>
            </w:r>
          </w:p>
        </w:tc>
      </w:tr>
      <w:tr w:rsidR="008C10B0" w:rsidRPr="00450621" w14:paraId="7BC7DB3B"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4186B82B"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por Ejecutar</w:t>
            </w:r>
          </w:p>
        </w:tc>
        <w:tc>
          <w:tcPr>
            <w:tcW w:w="1743" w:type="dxa"/>
            <w:tcBorders>
              <w:top w:val="single" w:sz="6" w:space="0" w:color="auto"/>
              <w:left w:val="single" w:sz="6" w:space="0" w:color="auto"/>
              <w:bottom w:val="single" w:sz="6" w:space="0" w:color="auto"/>
              <w:right w:val="single" w:sz="6" w:space="0" w:color="auto"/>
            </w:tcBorders>
          </w:tcPr>
          <w:p w14:paraId="68540EC7"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8C10B0" w:rsidRPr="00450621" w14:paraId="3BA46A10"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3D3258B3"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Modificaciones a la Ley de Ingresos Estimada</w:t>
            </w:r>
            <w:r w:rsidRPr="00450621">
              <w:rPr>
                <w:rFonts w:ascii="Arial" w:eastAsia="Times New Roman" w:hAnsi="Arial" w:cs="Arial"/>
                <w:sz w:val="18"/>
                <w:szCs w:val="18"/>
                <w:lang w:eastAsia="es-ES"/>
              </w:rPr>
              <w:t xml:space="preserve"> </w:t>
            </w:r>
          </w:p>
        </w:tc>
        <w:tc>
          <w:tcPr>
            <w:tcW w:w="1743" w:type="dxa"/>
            <w:tcBorders>
              <w:top w:val="single" w:sz="6" w:space="0" w:color="auto"/>
              <w:left w:val="single" w:sz="6" w:space="0" w:color="auto"/>
              <w:bottom w:val="single" w:sz="6" w:space="0" w:color="auto"/>
              <w:right w:val="single" w:sz="6" w:space="0" w:color="auto"/>
            </w:tcBorders>
          </w:tcPr>
          <w:p w14:paraId="4F81A504" w14:textId="11773C8B" w:rsidR="008C10B0" w:rsidRPr="00450621" w:rsidRDefault="00A369AA"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2,998,500,844</w:t>
            </w:r>
          </w:p>
        </w:tc>
      </w:tr>
      <w:tr w:rsidR="008C10B0" w:rsidRPr="00450621" w14:paraId="1A82E8AE"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D85B8F6"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Devengada</w:t>
            </w:r>
          </w:p>
        </w:tc>
        <w:tc>
          <w:tcPr>
            <w:tcW w:w="1743" w:type="dxa"/>
            <w:tcBorders>
              <w:top w:val="single" w:sz="6" w:space="0" w:color="auto"/>
              <w:left w:val="single" w:sz="6" w:space="0" w:color="auto"/>
              <w:bottom w:val="single" w:sz="6" w:space="0" w:color="auto"/>
              <w:right w:val="single" w:sz="6" w:space="0" w:color="auto"/>
            </w:tcBorders>
          </w:tcPr>
          <w:p w14:paraId="7E158457"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8C10B0" w:rsidRPr="00450621" w14:paraId="62D8F95A"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B25246B"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Recaudada</w:t>
            </w:r>
          </w:p>
        </w:tc>
        <w:tc>
          <w:tcPr>
            <w:tcW w:w="1743" w:type="dxa"/>
            <w:tcBorders>
              <w:top w:val="single" w:sz="6" w:space="0" w:color="auto"/>
              <w:left w:val="single" w:sz="6" w:space="0" w:color="auto"/>
              <w:bottom w:val="single" w:sz="6" w:space="0" w:color="auto"/>
              <w:right w:val="single" w:sz="6" w:space="0" w:color="auto"/>
            </w:tcBorders>
          </w:tcPr>
          <w:p w14:paraId="4AF2E21B" w14:textId="1F946282" w:rsidR="008C10B0" w:rsidRPr="00450621" w:rsidRDefault="00B037B1"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23,</w:t>
            </w:r>
            <w:r w:rsidR="00DF048C">
              <w:rPr>
                <w:rFonts w:ascii="Arial" w:eastAsia="Times New Roman" w:hAnsi="Arial" w:cs="Arial"/>
                <w:sz w:val="18"/>
                <w:szCs w:val="18"/>
                <w:lang w:eastAsia="es-ES"/>
              </w:rPr>
              <w:t>822,741,288</w:t>
            </w:r>
          </w:p>
        </w:tc>
      </w:tr>
    </w:tbl>
    <w:p w14:paraId="38E2DFD7" w14:textId="77777777" w:rsidR="008C10B0" w:rsidRDefault="008C10B0" w:rsidP="008C10B0">
      <w:pPr>
        <w:spacing w:after="0"/>
        <w:jc w:val="center"/>
        <w:rPr>
          <w:rFonts w:ascii="Arial" w:hAnsi="Arial" w:cs="Arial"/>
          <w:sz w:val="18"/>
          <w:szCs w:val="18"/>
        </w:rPr>
      </w:pPr>
    </w:p>
    <w:p w14:paraId="72B21564" w14:textId="77777777" w:rsidR="008C10B0" w:rsidRDefault="008C10B0" w:rsidP="008C10B0">
      <w:pPr>
        <w:spacing w:after="0"/>
        <w:jc w:val="center"/>
        <w:rPr>
          <w:rFonts w:ascii="Arial" w:hAnsi="Arial" w:cs="Arial"/>
          <w:sz w:val="18"/>
          <w:szCs w:val="18"/>
        </w:rPr>
      </w:pPr>
    </w:p>
    <w:p w14:paraId="34EB98D0" w14:textId="77777777" w:rsidR="008C10B0" w:rsidRDefault="008C10B0" w:rsidP="008C10B0">
      <w:pPr>
        <w:spacing w:after="0"/>
        <w:jc w:val="center"/>
        <w:rPr>
          <w:rFonts w:ascii="Arial" w:hAnsi="Arial" w:cs="Arial"/>
          <w:sz w:val="18"/>
          <w:szCs w:val="18"/>
        </w:rPr>
      </w:pPr>
    </w:p>
    <w:tbl>
      <w:tblPr>
        <w:tblW w:w="0" w:type="auto"/>
        <w:jc w:val="center"/>
        <w:tblLayout w:type="fixed"/>
        <w:tblLook w:val="0000" w:firstRow="0" w:lastRow="0" w:firstColumn="0" w:lastColumn="0" w:noHBand="0" w:noVBand="0"/>
      </w:tblPr>
      <w:tblGrid>
        <w:gridCol w:w="5570"/>
        <w:gridCol w:w="1743"/>
      </w:tblGrid>
      <w:tr w:rsidR="008C10B0" w:rsidRPr="00450621" w14:paraId="5929D27B"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4D52243A"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Cuentas de Orden Presupuestarias de Egresos</w:t>
            </w:r>
          </w:p>
        </w:tc>
        <w:tc>
          <w:tcPr>
            <w:tcW w:w="1743" w:type="dxa"/>
            <w:tcBorders>
              <w:top w:val="single" w:sz="6" w:space="0" w:color="auto"/>
              <w:left w:val="single" w:sz="6" w:space="0" w:color="auto"/>
              <w:bottom w:val="single" w:sz="6" w:space="0" w:color="auto"/>
              <w:right w:val="single" w:sz="6" w:space="0" w:color="auto"/>
            </w:tcBorders>
          </w:tcPr>
          <w:p w14:paraId="6344958B"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p>
        </w:tc>
      </w:tr>
      <w:tr w:rsidR="008C10B0" w:rsidRPr="00450621" w14:paraId="3460A0CC"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347CA27C"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743" w:type="dxa"/>
            <w:tcBorders>
              <w:top w:val="single" w:sz="6" w:space="0" w:color="auto"/>
              <w:left w:val="single" w:sz="6" w:space="0" w:color="auto"/>
              <w:bottom w:val="single" w:sz="6" w:space="0" w:color="auto"/>
              <w:right w:val="single" w:sz="6" w:space="0" w:color="auto"/>
            </w:tcBorders>
          </w:tcPr>
          <w:p w14:paraId="2C7234CE" w14:textId="2759147C" w:rsidR="008C10B0" w:rsidRPr="00DA460F" w:rsidRDefault="008C10B0" w:rsidP="00F33647">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w:t>
            </w:r>
            <w:r w:rsidR="00F33647">
              <w:rPr>
                <w:rFonts w:ascii="Arial" w:eastAsia="Times New Roman" w:hAnsi="Arial" w:cs="Arial"/>
                <w:b/>
                <w:sz w:val="18"/>
                <w:szCs w:val="18"/>
                <w:lang w:eastAsia="es-ES"/>
              </w:rPr>
              <w:t>5</w:t>
            </w:r>
          </w:p>
        </w:tc>
      </w:tr>
      <w:tr w:rsidR="008C10B0" w:rsidRPr="00450621" w14:paraId="4A73AE22"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7A058367"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Aprobado</w:t>
            </w:r>
          </w:p>
        </w:tc>
        <w:tc>
          <w:tcPr>
            <w:tcW w:w="1743" w:type="dxa"/>
            <w:tcBorders>
              <w:top w:val="single" w:sz="6" w:space="0" w:color="auto"/>
              <w:left w:val="single" w:sz="6" w:space="0" w:color="auto"/>
              <w:bottom w:val="single" w:sz="6" w:space="0" w:color="auto"/>
              <w:right w:val="single" w:sz="6" w:space="0" w:color="auto"/>
            </w:tcBorders>
          </w:tcPr>
          <w:p w14:paraId="408F09B1" w14:textId="337035E7" w:rsidR="008C10B0" w:rsidRPr="00450621" w:rsidRDefault="00971B77"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20,824,240,444</w:t>
            </w:r>
          </w:p>
        </w:tc>
      </w:tr>
      <w:tr w:rsidR="008C10B0" w:rsidRPr="00450621" w14:paraId="7BE52DA2"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52EC183B"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por Ejercer</w:t>
            </w:r>
          </w:p>
        </w:tc>
        <w:tc>
          <w:tcPr>
            <w:tcW w:w="1743" w:type="dxa"/>
            <w:tcBorders>
              <w:top w:val="single" w:sz="6" w:space="0" w:color="auto"/>
              <w:left w:val="single" w:sz="6" w:space="0" w:color="auto"/>
              <w:bottom w:val="single" w:sz="6" w:space="0" w:color="auto"/>
              <w:right w:val="single" w:sz="6" w:space="0" w:color="auto"/>
            </w:tcBorders>
          </w:tcPr>
          <w:p w14:paraId="466A6D05" w14:textId="0AAD66B4" w:rsidR="008C10B0" w:rsidRPr="00450621" w:rsidRDefault="00456250"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2,187,297,653</w:t>
            </w:r>
          </w:p>
        </w:tc>
      </w:tr>
      <w:tr w:rsidR="008C10B0" w:rsidRPr="00450621" w14:paraId="14BC5B2B"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214915F"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Modificaciones al Presupuesto de Egresos Aprobado</w:t>
            </w:r>
            <w:r w:rsidRPr="00450621">
              <w:rPr>
                <w:rFonts w:ascii="Arial" w:eastAsia="Times New Roman" w:hAnsi="Arial" w:cs="Arial"/>
                <w:sz w:val="18"/>
                <w:szCs w:val="18"/>
                <w:lang w:eastAsia="es-ES"/>
              </w:rPr>
              <w:t xml:space="preserve"> </w:t>
            </w:r>
          </w:p>
        </w:tc>
        <w:tc>
          <w:tcPr>
            <w:tcW w:w="1743" w:type="dxa"/>
            <w:tcBorders>
              <w:top w:val="single" w:sz="6" w:space="0" w:color="auto"/>
              <w:left w:val="single" w:sz="6" w:space="0" w:color="auto"/>
              <w:bottom w:val="single" w:sz="6" w:space="0" w:color="auto"/>
              <w:right w:val="single" w:sz="6" w:space="0" w:color="auto"/>
            </w:tcBorders>
          </w:tcPr>
          <w:p w14:paraId="0A19A42F" w14:textId="76EE0847" w:rsidR="008C10B0" w:rsidRPr="00450621" w:rsidRDefault="00456250"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2,998,500,844</w:t>
            </w:r>
          </w:p>
        </w:tc>
      </w:tr>
      <w:tr w:rsidR="008C10B0" w:rsidRPr="00450621" w14:paraId="7FD807AB"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19024E06"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Comprometido</w:t>
            </w:r>
          </w:p>
        </w:tc>
        <w:tc>
          <w:tcPr>
            <w:tcW w:w="1743" w:type="dxa"/>
            <w:tcBorders>
              <w:top w:val="single" w:sz="6" w:space="0" w:color="auto"/>
              <w:left w:val="single" w:sz="6" w:space="0" w:color="auto"/>
              <w:bottom w:val="single" w:sz="6" w:space="0" w:color="auto"/>
              <w:right w:val="single" w:sz="6" w:space="0" w:color="auto"/>
            </w:tcBorders>
          </w:tcPr>
          <w:p w14:paraId="08780803" w14:textId="79298ABF" w:rsidR="008C10B0" w:rsidRPr="00450621" w:rsidRDefault="007565D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1,041,533,528</w:t>
            </w:r>
          </w:p>
        </w:tc>
      </w:tr>
      <w:tr w:rsidR="008C10B0" w:rsidRPr="00450621" w14:paraId="3EE2B985"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1DAB2E3F"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Devengado</w:t>
            </w:r>
          </w:p>
        </w:tc>
        <w:tc>
          <w:tcPr>
            <w:tcW w:w="1743" w:type="dxa"/>
            <w:tcBorders>
              <w:top w:val="single" w:sz="6" w:space="0" w:color="auto"/>
              <w:left w:val="single" w:sz="6" w:space="0" w:color="auto"/>
              <w:bottom w:val="single" w:sz="6" w:space="0" w:color="auto"/>
              <w:right w:val="single" w:sz="6" w:space="0" w:color="auto"/>
            </w:tcBorders>
          </w:tcPr>
          <w:p w14:paraId="4B19FBEE"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8C10B0" w:rsidRPr="00AD5155" w14:paraId="22E3E4F0"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1AF3F7EA" w14:textId="77777777" w:rsidR="008C10B0" w:rsidRPr="00FF3187" w:rsidRDefault="008C10B0" w:rsidP="008C10B0">
            <w:pPr>
              <w:spacing w:after="0" w:line="240" w:lineRule="exact"/>
              <w:mirrorIndents/>
              <w:rPr>
                <w:rFonts w:ascii="Arial" w:eastAsia="Times New Roman" w:hAnsi="Arial" w:cs="Arial"/>
                <w:sz w:val="18"/>
                <w:szCs w:val="18"/>
                <w:lang w:eastAsia="es-ES"/>
              </w:rPr>
            </w:pPr>
            <w:r w:rsidRPr="00FF3187">
              <w:rPr>
                <w:rFonts w:ascii="Arial" w:eastAsia="Times New Roman" w:hAnsi="Arial" w:cs="Arial"/>
                <w:sz w:val="18"/>
                <w:szCs w:val="18"/>
                <w:lang w:eastAsia="es-ES"/>
              </w:rPr>
              <w:t>Presupuesto de Egresos Ejercido</w:t>
            </w:r>
          </w:p>
        </w:tc>
        <w:tc>
          <w:tcPr>
            <w:tcW w:w="1743" w:type="dxa"/>
            <w:tcBorders>
              <w:top w:val="single" w:sz="6" w:space="0" w:color="auto"/>
              <w:left w:val="single" w:sz="6" w:space="0" w:color="auto"/>
              <w:bottom w:val="single" w:sz="6" w:space="0" w:color="auto"/>
              <w:right w:val="single" w:sz="6" w:space="0" w:color="auto"/>
            </w:tcBorders>
          </w:tcPr>
          <w:p w14:paraId="1C7A8242" w14:textId="357F4844" w:rsidR="008C10B0" w:rsidRPr="00AD5155" w:rsidRDefault="007565D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1,130,566</w:t>
            </w:r>
          </w:p>
        </w:tc>
      </w:tr>
      <w:tr w:rsidR="008C10B0" w:rsidRPr="00450621" w14:paraId="6C606795"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1BD27F31" w14:textId="77777777" w:rsidR="008C10B0" w:rsidRPr="00FF3187" w:rsidRDefault="008C10B0" w:rsidP="008C10B0">
            <w:pPr>
              <w:spacing w:after="0" w:line="240" w:lineRule="exact"/>
              <w:mirrorIndents/>
              <w:rPr>
                <w:rFonts w:ascii="Arial" w:eastAsia="Times New Roman" w:hAnsi="Arial" w:cs="Arial"/>
                <w:sz w:val="18"/>
                <w:szCs w:val="18"/>
                <w:lang w:eastAsia="es-ES"/>
              </w:rPr>
            </w:pPr>
            <w:r>
              <w:rPr>
                <w:rFonts w:ascii="Arial" w:eastAsia="Times New Roman" w:hAnsi="Arial" w:cs="Arial"/>
                <w:sz w:val="18"/>
                <w:szCs w:val="18"/>
                <w:lang w:eastAsia="es-ES"/>
              </w:rPr>
              <w:t>Presupuesto de Egresos Pagado</w:t>
            </w:r>
          </w:p>
        </w:tc>
        <w:tc>
          <w:tcPr>
            <w:tcW w:w="1743" w:type="dxa"/>
            <w:tcBorders>
              <w:top w:val="single" w:sz="6" w:space="0" w:color="auto"/>
              <w:left w:val="single" w:sz="6" w:space="0" w:color="auto"/>
              <w:bottom w:val="single" w:sz="6" w:space="0" w:color="auto"/>
              <w:right w:val="single" w:sz="6" w:space="0" w:color="auto"/>
            </w:tcBorders>
          </w:tcPr>
          <w:p w14:paraId="75663085" w14:textId="13E1D30B" w:rsidR="008C10B0" w:rsidRPr="00AD5155" w:rsidRDefault="0007127C"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20,592,779,540</w:t>
            </w:r>
          </w:p>
        </w:tc>
      </w:tr>
    </w:tbl>
    <w:p w14:paraId="4972B657" w14:textId="77777777" w:rsidR="008C10B0" w:rsidRDefault="008C10B0" w:rsidP="008C10B0">
      <w:pPr>
        <w:spacing w:after="0"/>
        <w:jc w:val="center"/>
        <w:rPr>
          <w:rFonts w:ascii="Arial" w:hAnsi="Arial" w:cs="Arial"/>
          <w:sz w:val="18"/>
          <w:szCs w:val="18"/>
        </w:rPr>
      </w:pPr>
    </w:p>
    <w:p w14:paraId="361D8C8C" w14:textId="77777777" w:rsidR="00C06ABE" w:rsidRDefault="00C06ABE" w:rsidP="008C10B0">
      <w:pPr>
        <w:spacing w:after="0"/>
        <w:jc w:val="center"/>
        <w:rPr>
          <w:rFonts w:ascii="Arial" w:hAnsi="Arial" w:cs="Arial"/>
          <w:sz w:val="18"/>
          <w:szCs w:val="18"/>
        </w:rPr>
      </w:pPr>
    </w:p>
    <w:sectPr w:rsidR="00C06ABE" w:rsidSect="000209E1">
      <w:headerReference w:type="even" r:id="rId37"/>
      <w:headerReference w:type="default" r:id="rId38"/>
      <w:footerReference w:type="even" r:id="rId39"/>
      <w:footerReference w:type="default" r:id="rId40"/>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DB7C8" w14:textId="77777777" w:rsidR="008241C7" w:rsidRDefault="008241C7" w:rsidP="00EA5418">
      <w:pPr>
        <w:spacing w:after="0" w:line="240" w:lineRule="auto"/>
      </w:pPr>
      <w:r>
        <w:separator/>
      </w:r>
    </w:p>
  </w:endnote>
  <w:endnote w:type="continuationSeparator" w:id="0">
    <w:p w14:paraId="1C7D2ACF" w14:textId="77777777" w:rsidR="008241C7" w:rsidRDefault="008241C7"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DE62F" w14:textId="6A54ED55" w:rsidR="008736CF" w:rsidRPr="004E3EA4" w:rsidRDefault="008736CF"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14:anchorId="37C911D3" wp14:editId="37BD90F6">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59E933"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F33647" w:rsidRPr="00F33647">
          <w:rPr>
            <w:rFonts w:ascii="Arial" w:hAnsi="Arial" w:cs="Arial"/>
            <w:noProof/>
            <w:sz w:val="20"/>
            <w:lang w:val="es-ES"/>
          </w:rPr>
          <w:t>42</w:t>
        </w:r>
        <w:r w:rsidRPr="004E3EA4">
          <w:rPr>
            <w:rFonts w:ascii="Arial" w:hAnsi="Arial" w:cs="Arial"/>
            <w:sz w:val="20"/>
          </w:rPr>
          <w:fldChar w:fldCharType="end"/>
        </w:r>
      </w:sdtContent>
    </w:sdt>
  </w:p>
  <w:p w14:paraId="62447935" w14:textId="77777777" w:rsidR="008736CF" w:rsidRDefault="008736C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A476C" w14:textId="6CA8CB72" w:rsidR="008736CF" w:rsidRPr="003527CD" w:rsidRDefault="008736CF"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14:anchorId="7E6F07E1" wp14:editId="048E2CC4">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85C0A1"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F33647" w:rsidRPr="00F33647">
          <w:rPr>
            <w:rFonts w:ascii="Arial" w:hAnsi="Arial" w:cs="Arial"/>
            <w:noProof/>
            <w:lang w:val="es-ES"/>
          </w:rPr>
          <w:t>43</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1E4ED" w14:textId="77777777" w:rsidR="008241C7" w:rsidRDefault="008241C7" w:rsidP="00EA5418">
      <w:pPr>
        <w:spacing w:after="0" w:line="240" w:lineRule="auto"/>
      </w:pPr>
      <w:r>
        <w:separator/>
      </w:r>
    </w:p>
  </w:footnote>
  <w:footnote w:type="continuationSeparator" w:id="0">
    <w:p w14:paraId="7053A763" w14:textId="77777777" w:rsidR="008241C7" w:rsidRDefault="008241C7"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078E5" w14:textId="77777777" w:rsidR="008736CF" w:rsidRDefault="008736CF"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FFE8DAB" wp14:editId="738DBE45">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AC06" w14:textId="77777777" w:rsidR="008736CF" w:rsidRDefault="008736CF"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8736CF" w:rsidRDefault="008736C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35C92" w14:textId="7E4CFA91" w:rsidR="008736CF" w:rsidRPr="00DE4269" w:rsidRDefault="008736CF"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FE8DA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o7q5W0t3kb7qAsceg5rgf2Yf2mfDf7W3wf07xx4TGof2HqkkscH2&#10;2HyZsxuUbK5OPmU96nmV+XqZSrU1UVJv3mm0urStd/K6+89Coooqj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39sbyyliVtpkQrk9sjFeL/APBPT9kq6/Yl/Zb0P4d3&#10;2tW/iC40ea5lN7Dbm3STzZmkxsLMRjdjrXt1FHmd1PMsRTwdTARf7upKEpKy1lBTUXfdWU5aLR31&#10;2QUUUUHC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fixvb+9R&#10;vb+9SY9qMe1Bm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B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5714AC06" w14:textId="77777777" w:rsidR="008736CF" w:rsidRDefault="008736CF"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8736CF" w:rsidRDefault="008736C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7635C92" w14:textId="7E4CFA91" w:rsidR="008736CF" w:rsidRPr="00DE4269" w:rsidRDefault="008736CF"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2025</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1FC96583" wp14:editId="0C482397">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48242A"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71BBA" w14:textId="77777777" w:rsidR="008736CF" w:rsidRPr="003527CD" w:rsidRDefault="008736CF"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468A18E5" wp14:editId="3AE9D625">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C2BF727"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40B7A"/>
    <w:multiLevelType w:val="hybridMultilevel"/>
    <w:tmpl w:val="C15C92AA"/>
    <w:lvl w:ilvl="0" w:tplc="D03410B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486F73"/>
    <w:multiLevelType w:val="hybridMultilevel"/>
    <w:tmpl w:val="9ECA56B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 w15:restartNumberingAfterBreak="0">
    <w:nsid w:val="1D481B71"/>
    <w:multiLevelType w:val="singleLevel"/>
    <w:tmpl w:val="C6D685E8"/>
    <w:lvl w:ilvl="0">
      <w:start w:val="1"/>
      <w:numFmt w:val="bullet"/>
      <w:pStyle w:val="bullet"/>
      <w:lvlText w:val=""/>
      <w:lvlJc w:val="left"/>
      <w:pPr>
        <w:tabs>
          <w:tab w:val="num" w:pos="360"/>
        </w:tabs>
        <w:ind w:left="360" w:hanging="360"/>
      </w:pPr>
      <w:rPr>
        <w:rFonts w:ascii="Symbol" w:hAnsi="Symbol" w:hint="default"/>
      </w:rPr>
    </w:lvl>
  </w:abstractNum>
  <w:abstractNum w:abstractNumId="3" w15:restartNumberingAfterBreak="0">
    <w:nsid w:val="1ED63995"/>
    <w:multiLevelType w:val="hybridMultilevel"/>
    <w:tmpl w:val="A0628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EB177B"/>
    <w:multiLevelType w:val="hybridMultilevel"/>
    <w:tmpl w:val="E716BD6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23104E84"/>
    <w:multiLevelType w:val="hybridMultilevel"/>
    <w:tmpl w:val="26BA2848"/>
    <w:lvl w:ilvl="0" w:tplc="FA344E96">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2F1F7AA3"/>
    <w:multiLevelType w:val="hybridMultilevel"/>
    <w:tmpl w:val="7B528B9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4461C3"/>
    <w:multiLevelType w:val="hybridMultilevel"/>
    <w:tmpl w:val="4C46A19E"/>
    <w:lvl w:ilvl="0" w:tplc="9984C976">
      <w:start w:val="1"/>
      <w:numFmt w:val="low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36A230A1"/>
    <w:multiLevelType w:val="hybridMultilevel"/>
    <w:tmpl w:val="DB5876B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0" w15:restartNumberingAfterBreak="0">
    <w:nsid w:val="372E3181"/>
    <w:multiLevelType w:val="hybridMultilevel"/>
    <w:tmpl w:val="CD2A64F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15:restartNumberingAfterBreak="0">
    <w:nsid w:val="386A7DBE"/>
    <w:multiLevelType w:val="hybridMultilevel"/>
    <w:tmpl w:val="F5740C06"/>
    <w:lvl w:ilvl="0" w:tplc="F76472D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B85988"/>
    <w:multiLevelType w:val="hybridMultilevel"/>
    <w:tmpl w:val="1836462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 w15:restartNumberingAfterBreak="0">
    <w:nsid w:val="575803E0"/>
    <w:multiLevelType w:val="hybridMultilevel"/>
    <w:tmpl w:val="5B8692E8"/>
    <w:lvl w:ilvl="0" w:tplc="9B2A1E0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7F73CFA"/>
    <w:multiLevelType w:val="hybridMultilevel"/>
    <w:tmpl w:val="7776821C"/>
    <w:lvl w:ilvl="0" w:tplc="4CBADEDE">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15:restartNumberingAfterBreak="0">
    <w:nsid w:val="6F461939"/>
    <w:multiLevelType w:val="hybridMultilevel"/>
    <w:tmpl w:val="46E07CB6"/>
    <w:lvl w:ilvl="0" w:tplc="C96A7B30">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15:restartNumberingAfterBreak="0">
    <w:nsid w:val="711B6A8A"/>
    <w:multiLevelType w:val="hybridMultilevel"/>
    <w:tmpl w:val="21806CEE"/>
    <w:lvl w:ilvl="0" w:tplc="E2C42D0A">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7" w15:restartNumberingAfterBreak="0">
    <w:nsid w:val="75AE75B2"/>
    <w:multiLevelType w:val="hybridMultilevel"/>
    <w:tmpl w:val="4D7E2F06"/>
    <w:lvl w:ilvl="0" w:tplc="D47E6FA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BE0120A"/>
    <w:multiLevelType w:val="hybridMultilevel"/>
    <w:tmpl w:val="116E003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F8C6E12"/>
    <w:multiLevelType w:val="hybridMultilevel"/>
    <w:tmpl w:val="6D82A80A"/>
    <w:lvl w:ilvl="0" w:tplc="6EAE94C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1486619">
    <w:abstractNumId w:val="19"/>
  </w:num>
  <w:num w:numId="2" w16cid:durableId="1710297815">
    <w:abstractNumId w:val="2"/>
  </w:num>
  <w:num w:numId="3" w16cid:durableId="1173034807">
    <w:abstractNumId w:val="7"/>
  </w:num>
  <w:num w:numId="4" w16cid:durableId="13338028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46423500">
    <w:abstractNumId w:val="14"/>
  </w:num>
  <w:num w:numId="6" w16cid:durableId="1815832550">
    <w:abstractNumId w:val="5"/>
  </w:num>
  <w:num w:numId="7" w16cid:durableId="45301386">
    <w:abstractNumId w:val="18"/>
  </w:num>
  <w:num w:numId="8" w16cid:durableId="6012584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96153295">
    <w:abstractNumId w:val="16"/>
  </w:num>
  <w:num w:numId="10" w16cid:durableId="164176641">
    <w:abstractNumId w:val="3"/>
  </w:num>
  <w:num w:numId="11" w16cid:durableId="1293288286">
    <w:abstractNumId w:val="0"/>
  </w:num>
  <w:num w:numId="12" w16cid:durableId="1529295193">
    <w:abstractNumId w:val="20"/>
  </w:num>
  <w:num w:numId="13" w16cid:durableId="1607078597">
    <w:abstractNumId w:val="4"/>
  </w:num>
  <w:num w:numId="14" w16cid:durableId="176576630">
    <w:abstractNumId w:val="1"/>
  </w:num>
  <w:num w:numId="15" w16cid:durableId="2140419225">
    <w:abstractNumId w:val="10"/>
  </w:num>
  <w:num w:numId="16" w16cid:durableId="1121076654">
    <w:abstractNumId w:val="15"/>
  </w:num>
  <w:num w:numId="17" w16cid:durableId="1872038097">
    <w:abstractNumId w:val="11"/>
  </w:num>
  <w:num w:numId="18" w16cid:durableId="1892308481">
    <w:abstractNumId w:val="17"/>
  </w:num>
  <w:num w:numId="19" w16cid:durableId="566846896">
    <w:abstractNumId w:val="13"/>
  </w:num>
  <w:num w:numId="20" w16cid:durableId="926306463">
    <w:abstractNumId w:val="9"/>
  </w:num>
  <w:num w:numId="21" w16cid:durableId="1502234085">
    <w:abstractNumId w:val="6"/>
  </w:num>
  <w:num w:numId="22" w16cid:durableId="593829941">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characterSpacingControl w:val="doNotCompress"/>
  <w:hdrShapeDefaults>
    <o:shapedefaults v:ext="edit" spidmax="211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5FA8"/>
    <w:rsid w:val="00006217"/>
    <w:rsid w:val="0000712A"/>
    <w:rsid w:val="0001342E"/>
    <w:rsid w:val="00013AA1"/>
    <w:rsid w:val="000155BC"/>
    <w:rsid w:val="000164D8"/>
    <w:rsid w:val="000202A5"/>
    <w:rsid w:val="000209E1"/>
    <w:rsid w:val="00021787"/>
    <w:rsid w:val="000243C9"/>
    <w:rsid w:val="00026C0E"/>
    <w:rsid w:val="00026DF6"/>
    <w:rsid w:val="000271C8"/>
    <w:rsid w:val="00031160"/>
    <w:rsid w:val="00031DC4"/>
    <w:rsid w:val="00032921"/>
    <w:rsid w:val="00036275"/>
    <w:rsid w:val="00037045"/>
    <w:rsid w:val="00037A4C"/>
    <w:rsid w:val="00037E57"/>
    <w:rsid w:val="000401B4"/>
    <w:rsid w:val="00040466"/>
    <w:rsid w:val="00041356"/>
    <w:rsid w:val="0004135F"/>
    <w:rsid w:val="000417DA"/>
    <w:rsid w:val="000438F0"/>
    <w:rsid w:val="00043D1E"/>
    <w:rsid w:val="00043F64"/>
    <w:rsid w:val="0004567A"/>
    <w:rsid w:val="00045A10"/>
    <w:rsid w:val="0004641E"/>
    <w:rsid w:val="0004695D"/>
    <w:rsid w:val="00046A62"/>
    <w:rsid w:val="00046F70"/>
    <w:rsid w:val="000534C6"/>
    <w:rsid w:val="00053994"/>
    <w:rsid w:val="00054C4D"/>
    <w:rsid w:val="00056EDF"/>
    <w:rsid w:val="000574E6"/>
    <w:rsid w:val="00057C1C"/>
    <w:rsid w:val="0006024D"/>
    <w:rsid w:val="00062509"/>
    <w:rsid w:val="00063159"/>
    <w:rsid w:val="000655E4"/>
    <w:rsid w:val="0006610A"/>
    <w:rsid w:val="0006650D"/>
    <w:rsid w:val="0006668A"/>
    <w:rsid w:val="000674ED"/>
    <w:rsid w:val="0006755E"/>
    <w:rsid w:val="00071179"/>
    <w:rsid w:val="0007127C"/>
    <w:rsid w:val="00071309"/>
    <w:rsid w:val="00072BA1"/>
    <w:rsid w:val="00072C3F"/>
    <w:rsid w:val="00074247"/>
    <w:rsid w:val="00074536"/>
    <w:rsid w:val="0007519E"/>
    <w:rsid w:val="00075588"/>
    <w:rsid w:val="00076E1D"/>
    <w:rsid w:val="00077A1F"/>
    <w:rsid w:val="0008099F"/>
    <w:rsid w:val="00080D6B"/>
    <w:rsid w:val="00081609"/>
    <w:rsid w:val="00083D85"/>
    <w:rsid w:val="00084D46"/>
    <w:rsid w:val="000872D9"/>
    <w:rsid w:val="00090FD9"/>
    <w:rsid w:val="00091435"/>
    <w:rsid w:val="000932FE"/>
    <w:rsid w:val="0009604B"/>
    <w:rsid w:val="00097255"/>
    <w:rsid w:val="000A00F8"/>
    <w:rsid w:val="000A1DD4"/>
    <w:rsid w:val="000A30D1"/>
    <w:rsid w:val="000A4867"/>
    <w:rsid w:val="000A56CB"/>
    <w:rsid w:val="000A5776"/>
    <w:rsid w:val="000A58AB"/>
    <w:rsid w:val="000A7734"/>
    <w:rsid w:val="000A7AB8"/>
    <w:rsid w:val="000B0542"/>
    <w:rsid w:val="000B0742"/>
    <w:rsid w:val="000B3A2D"/>
    <w:rsid w:val="000B54AD"/>
    <w:rsid w:val="000B552D"/>
    <w:rsid w:val="000B5932"/>
    <w:rsid w:val="000B62E8"/>
    <w:rsid w:val="000B6DEA"/>
    <w:rsid w:val="000B6E5A"/>
    <w:rsid w:val="000C024C"/>
    <w:rsid w:val="000C11AF"/>
    <w:rsid w:val="000C3AF6"/>
    <w:rsid w:val="000C6E95"/>
    <w:rsid w:val="000C7FBB"/>
    <w:rsid w:val="000D01E9"/>
    <w:rsid w:val="000D0EE3"/>
    <w:rsid w:val="000D2C1A"/>
    <w:rsid w:val="000D4D45"/>
    <w:rsid w:val="000D553D"/>
    <w:rsid w:val="000D76D8"/>
    <w:rsid w:val="000E029D"/>
    <w:rsid w:val="000E0A96"/>
    <w:rsid w:val="000E10A7"/>
    <w:rsid w:val="000E4072"/>
    <w:rsid w:val="000E5C7A"/>
    <w:rsid w:val="000E5D7B"/>
    <w:rsid w:val="000E6692"/>
    <w:rsid w:val="000F0E08"/>
    <w:rsid w:val="000F1B18"/>
    <w:rsid w:val="000F29BF"/>
    <w:rsid w:val="000F3BF5"/>
    <w:rsid w:val="000F5D5C"/>
    <w:rsid w:val="000F7AB4"/>
    <w:rsid w:val="00100FD7"/>
    <w:rsid w:val="0010182C"/>
    <w:rsid w:val="001022A3"/>
    <w:rsid w:val="001049BA"/>
    <w:rsid w:val="00105410"/>
    <w:rsid w:val="001054F7"/>
    <w:rsid w:val="00111884"/>
    <w:rsid w:val="00112770"/>
    <w:rsid w:val="001130E9"/>
    <w:rsid w:val="001144E5"/>
    <w:rsid w:val="00114FC2"/>
    <w:rsid w:val="001156F5"/>
    <w:rsid w:val="00115921"/>
    <w:rsid w:val="00115CB7"/>
    <w:rsid w:val="00115E5C"/>
    <w:rsid w:val="00115FAF"/>
    <w:rsid w:val="00117011"/>
    <w:rsid w:val="001177F7"/>
    <w:rsid w:val="00117F03"/>
    <w:rsid w:val="001203B5"/>
    <w:rsid w:val="00120A86"/>
    <w:rsid w:val="00120F4C"/>
    <w:rsid w:val="001210DD"/>
    <w:rsid w:val="00121842"/>
    <w:rsid w:val="00121982"/>
    <w:rsid w:val="00122C6A"/>
    <w:rsid w:val="00123461"/>
    <w:rsid w:val="001234D1"/>
    <w:rsid w:val="00125004"/>
    <w:rsid w:val="0013011C"/>
    <w:rsid w:val="001330F9"/>
    <w:rsid w:val="001340E0"/>
    <w:rsid w:val="00134F21"/>
    <w:rsid w:val="00136E7D"/>
    <w:rsid w:val="001412D7"/>
    <w:rsid w:val="00142035"/>
    <w:rsid w:val="001435CE"/>
    <w:rsid w:val="0014373E"/>
    <w:rsid w:val="001443EA"/>
    <w:rsid w:val="00144A5D"/>
    <w:rsid w:val="0014540D"/>
    <w:rsid w:val="00147A3D"/>
    <w:rsid w:val="001528B7"/>
    <w:rsid w:val="001547B6"/>
    <w:rsid w:val="00155BEA"/>
    <w:rsid w:val="00155DFE"/>
    <w:rsid w:val="001562E4"/>
    <w:rsid w:val="00160E16"/>
    <w:rsid w:val="00161865"/>
    <w:rsid w:val="0016242F"/>
    <w:rsid w:val="001635E1"/>
    <w:rsid w:val="00165BB4"/>
    <w:rsid w:val="00165E86"/>
    <w:rsid w:val="001660FE"/>
    <w:rsid w:val="00167E33"/>
    <w:rsid w:val="00171788"/>
    <w:rsid w:val="00172B7D"/>
    <w:rsid w:val="00174EA9"/>
    <w:rsid w:val="00174F47"/>
    <w:rsid w:val="001769D8"/>
    <w:rsid w:val="001778B1"/>
    <w:rsid w:val="0018009C"/>
    <w:rsid w:val="0018055B"/>
    <w:rsid w:val="001837A5"/>
    <w:rsid w:val="001854C3"/>
    <w:rsid w:val="00185609"/>
    <w:rsid w:val="0018603D"/>
    <w:rsid w:val="0018652F"/>
    <w:rsid w:val="001872A3"/>
    <w:rsid w:val="00191085"/>
    <w:rsid w:val="00191FC5"/>
    <w:rsid w:val="00192770"/>
    <w:rsid w:val="00192B86"/>
    <w:rsid w:val="00193B2D"/>
    <w:rsid w:val="001951AF"/>
    <w:rsid w:val="001A26CD"/>
    <w:rsid w:val="001A3F6A"/>
    <w:rsid w:val="001A4DF9"/>
    <w:rsid w:val="001A575F"/>
    <w:rsid w:val="001A5E9A"/>
    <w:rsid w:val="001A78A4"/>
    <w:rsid w:val="001B011B"/>
    <w:rsid w:val="001B0197"/>
    <w:rsid w:val="001B0C81"/>
    <w:rsid w:val="001B13BF"/>
    <w:rsid w:val="001B1478"/>
    <w:rsid w:val="001B1579"/>
    <w:rsid w:val="001B1B72"/>
    <w:rsid w:val="001B1BBF"/>
    <w:rsid w:val="001B2632"/>
    <w:rsid w:val="001B267D"/>
    <w:rsid w:val="001B378A"/>
    <w:rsid w:val="001B4EE5"/>
    <w:rsid w:val="001B51F1"/>
    <w:rsid w:val="001B6F95"/>
    <w:rsid w:val="001B7DDA"/>
    <w:rsid w:val="001C219E"/>
    <w:rsid w:val="001C2435"/>
    <w:rsid w:val="001C37DA"/>
    <w:rsid w:val="001C38B2"/>
    <w:rsid w:val="001C47EF"/>
    <w:rsid w:val="001C4842"/>
    <w:rsid w:val="001C48E8"/>
    <w:rsid w:val="001C4CB9"/>
    <w:rsid w:val="001C584E"/>
    <w:rsid w:val="001C654F"/>
    <w:rsid w:val="001C66C1"/>
    <w:rsid w:val="001C6C21"/>
    <w:rsid w:val="001C6FD8"/>
    <w:rsid w:val="001D0747"/>
    <w:rsid w:val="001D1569"/>
    <w:rsid w:val="001D163C"/>
    <w:rsid w:val="001D3572"/>
    <w:rsid w:val="001E1345"/>
    <w:rsid w:val="001E2A65"/>
    <w:rsid w:val="001E3216"/>
    <w:rsid w:val="001E327A"/>
    <w:rsid w:val="001E46CF"/>
    <w:rsid w:val="001E62F4"/>
    <w:rsid w:val="001E6E42"/>
    <w:rsid w:val="001E7072"/>
    <w:rsid w:val="001F0A5E"/>
    <w:rsid w:val="001F0C04"/>
    <w:rsid w:val="001F1751"/>
    <w:rsid w:val="001F18C1"/>
    <w:rsid w:val="001F2E68"/>
    <w:rsid w:val="001F3D67"/>
    <w:rsid w:val="001F4B7F"/>
    <w:rsid w:val="00200469"/>
    <w:rsid w:val="00201801"/>
    <w:rsid w:val="00201919"/>
    <w:rsid w:val="002023F6"/>
    <w:rsid w:val="002029FE"/>
    <w:rsid w:val="00202B11"/>
    <w:rsid w:val="00202C27"/>
    <w:rsid w:val="00203AC0"/>
    <w:rsid w:val="00203F37"/>
    <w:rsid w:val="00204C86"/>
    <w:rsid w:val="00204F06"/>
    <w:rsid w:val="0020657A"/>
    <w:rsid w:val="00206E09"/>
    <w:rsid w:val="00212203"/>
    <w:rsid w:val="002148EB"/>
    <w:rsid w:val="00214F74"/>
    <w:rsid w:val="00215B92"/>
    <w:rsid w:val="0021687B"/>
    <w:rsid w:val="00221765"/>
    <w:rsid w:val="00221C53"/>
    <w:rsid w:val="00221DB1"/>
    <w:rsid w:val="0022227A"/>
    <w:rsid w:val="00222D09"/>
    <w:rsid w:val="00223CE1"/>
    <w:rsid w:val="0022440F"/>
    <w:rsid w:val="002253A0"/>
    <w:rsid w:val="00227B93"/>
    <w:rsid w:val="00230B71"/>
    <w:rsid w:val="0023290E"/>
    <w:rsid w:val="00236748"/>
    <w:rsid w:val="002372CE"/>
    <w:rsid w:val="00241DE4"/>
    <w:rsid w:val="002431DD"/>
    <w:rsid w:val="00243D91"/>
    <w:rsid w:val="00244989"/>
    <w:rsid w:val="00244D40"/>
    <w:rsid w:val="00245E54"/>
    <w:rsid w:val="00247A5F"/>
    <w:rsid w:val="00247AD7"/>
    <w:rsid w:val="00251F0D"/>
    <w:rsid w:val="00255476"/>
    <w:rsid w:val="0025548F"/>
    <w:rsid w:val="0025735F"/>
    <w:rsid w:val="00260513"/>
    <w:rsid w:val="002615F9"/>
    <w:rsid w:val="00261B45"/>
    <w:rsid w:val="0026333F"/>
    <w:rsid w:val="002640DB"/>
    <w:rsid w:val="00264426"/>
    <w:rsid w:val="002705C0"/>
    <w:rsid w:val="00270EC8"/>
    <w:rsid w:val="002714C7"/>
    <w:rsid w:val="00272E20"/>
    <w:rsid w:val="00274353"/>
    <w:rsid w:val="002748C9"/>
    <w:rsid w:val="0027627B"/>
    <w:rsid w:val="002762F9"/>
    <w:rsid w:val="00276EE2"/>
    <w:rsid w:val="00280CD3"/>
    <w:rsid w:val="00280CDA"/>
    <w:rsid w:val="00282A5A"/>
    <w:rsid w:val="002858C7"/>
    <w:rsid w:val="00287C7B"/>
    <w:rsid w:val="00287D90"/>
    <w:rsid w:val="00290A24"/>
    <w:rsid w:val="00295763"/>
    <w:rsid w:val="00295D09"/>
    <w:rsid w:val="00295FCC"/>
    <w:rsid w:val="00297031"/>
    <w:rsid w:val="00297D52"/>
    <w:rsid w:val="002A15A9"/>
    <w:rsid w:val="002A1E5B"/>
    <w:rsid w:val="002A2013"/>
    <w:rsid w:val="002A379D"/>
    <w:rsid w:val="002A62AF"/>
    <w:rsid w:val="002A659C"/>
    <w:rsid w:val="002A70B3"/>
    <w:rsid w:val="002A728F"/>
    <w:rsid w:val="002A7396"/>
    <w:rsid w:val="002A7C42"/>
    <w:rsid w:val="002B0770"/>
    <w:rsid w:val="002B3186"/>
    <w:rsid w:val="002B32BF"/>
    <w:rsid w:val="002B44E6"/>
    <w:rsid w:val="002B4828"/>
    <w:rsid w:val="002B547F"/>
    <w:rsid w:val="002B7C62"/>
    <w:rsid w:val="002C060D"/>
    <w:rsid w:val="002C0A9F"/>
    <w:rsid w:val="002C416F"/>
    <w:rsid w:val="002C479E"/>
    <w:rsid w:val="002C4A76"/>
    <w:rsid w:val="002C4C3C"/>
    <w:rsid w:val="002C4E19"/>
    <w:rsid w:val="002C55F6"/>
    <w:rsid w:val="002C5ACA"/>
    <w:rsid w:val="002D0278"/>
    <w:rsid w:val="002D22E8"/>
    <w:rsid w:val="002D2813"/>
    <w:rsid w:val="002D2BEE"/>
    <w:rsid w:val="002D3E68"/>
    <w:rsid w:val="002D48B0"/>
    <w:rsid w:val="002E1B6E"/>
    <w:rsid w:val="002E1F2D"/>
    <w:rsid w:val="002E3C2E"/>
    <w:rsid w:val="002E4A3B"/>
    <w:rsid w:val="002E52F9"/>
    <w:rsid w:val="002F3005"/>
    <w:rsid w:val="002F502D"/>
    <w:rsid w:val="002F546C"/>
    <w:rsid w:val="002F769E"/>
    <w:rsid w:val="00300EF3"/>
    <w:rsid w:val="00300F57"/>
    <w:rsid w:val="0030292A"/>
    <w:rsid w:val="00302E39"/>
    <w:rsid w:val="00303EA9"/>
    <w:rsid w:val="00304672"/>
    <w:rsid w:val="00310A44"/>
    <w:rsid w:val="00311228"/>
    <w:rsid w:val="00311255"/>
    <w:rsid w:val="00312040"/>
    <w:rsid w:val="003121C3"/>
    <w:rsid w:val="003147DC"/>
    <w:rsid w:val="003156F1"/>
    <w:rsid w:val="003171B4"/>
    <w:rsid w:val="003171D8"/>
    <w:rsid w:val="0032152C"/>
    <w:rsid w:val="0032384C"/>
    <w:rsid w:val="00323D16"/>
    <w:rsid w:val="00324311"/>
    <w:rsid w:val="00327048"/>
    <w:rsid w:val="00327701"/>
    <w:rsid w:val="00327740"/>
    <w:rsid w:val="00331185"/>
    <w:rsid w:val="00332091"/>
    <w:rsid w:val="0033398C"/>
    <w:rsid w:val="00333EF7"/>
    <w:rsid w:val="00334098"/>
    <w:rsid w:val="00336B8F"/>
    <w:rsid w:val="0033784D"/>
    <w:rsid w:val="00337CFD"/>
    <w:rsid w:val="00341678"/>
    <w:rsid w:val="00346328"/>
    <w:rsid w:val="003478FA"/>
    <w:rsid w:val="00347BC6"/>
    <w:rsid w:val="00351921"/>
    <w:rsid w:val="003527CD"/>
    <w:rsid w:val="003530FB"/>
    <w:rsid w:val="00354047"/>
    <w:rsid w:val="0035405F"/>
    <w:rsid w:val="0035468F"/>
    <w:rsid w:val="00355DA8"/>
    <w:rsid w:val="00355E3E"/>
    <w:rsid w:val="00356170"/>
    <w:rsid w:val="00357A70"/>
    <w:rsid w:val="003611A3"/>
    <w:rsid w:val="003612CA"/>
    <w:rsid w:val="00361477"/>
    <w:rsid w:val="00363494"/>
    <w:rsid w:val="00365BA0"/>
    <w:rsid w:val="00370A73"/>
    <w:rsid w:val="00370FF6"/>
    <w:rsid w:val="00371E98"/>
    <w:rsid w:val="00372F40"/>
    <w:rsid w:val="00374952"/>
    <w:rsid w:val="00374E36"/>
    <w:rsid w:val="00375F89"/>
    <w:rsid w:val="00380E8C"/>
    <w:rsid w:val="00380EE2"/>
    <w:rsid w:val="003811EC"/>
    <w:rsid w:val="00382E8F"/>
    <w:rsid w:val="00383BCB"/>
    <w:rsid w:val="0038423D"/>
    <w:rsid w:val="0038695F"/>
    <w:rsid w:val="00386D06"/>
    <w:rsid w:val="00386D2B"/>
    <w:rsid w:val="00386DD7"/>
    <w:rsid w:val="00386E53"/>
    <w:rsid w:val="003900E3"/>
    <w:rsid w:val="00390936"/>
    <w:rsid w:val="00390A9A"/>
    <w:rsid w:val="003926A7"/>
    <w:rsid w:val="00392742"/>
    <w:rsid w:val="003931E0"/>
    <w:rsid w:val="00393281"/>
    <w:rsid w:val="00393659"/>
    <w:rsid w:val="00393A48"/>
    <w:rsid w:val="00393C53"/>
    <w:rsid w:val="00394541"/>
    <w:rsid w:val="003951A0"/>
    <w:rsid w:val="00396C2B"/>
    <w:rsid w:val="00397076"/>
    <w:rsid w:val="003A0303"/>
    <w:rsid w:val="003A0641"/>
    <w:rsid w:val="003A072B"/>
    <w:rsid w:val="003A3004"/>
    <w:rsid w:val="003A3013"/>
    <w:rsid w:val="003A4518"/>
    <w:rsid w:val="003A698E"/>
    <w:rsid w:val="003A6C39"/>
    <w:rsid w:val="003A731F"/>
    <w:rsid w:val="003A7ADE"/>
    <w:rsid w:val="003B1B0C"/>
    <w:rsid w:val="003B4793"/>
    <w:rsid w:val="003B55DA"/>
    <w:rsid w:val="003B710A"/>
    <w:rsid w:val="003C0615"/>
    <w:rsid w:val="003C0B34"/>
    <w:rsid w:val="003C2589"/>
    <w:rsid w:val="003C35FE"/>
    <w:rsid w:val="003C3AC9"/>
    <w:rsid w:val="003C3B3A"/>
    <w:rsid w:val="003C3F52"/>
    <w:rsid w:val="003C422B"/>
    <w:rsid w:val="003C4805"/>
    <w:rsid w:val="003C5841"/>
    <w:rsid w:val="003C5C30"/>
    <w:rsid w:val="003C7A1D"/>
    <w:rsid w:val="003D0221"/>
    <w:rsid w:val="003D1331"/>
    <w:rsid w:val="003D1D42"/>
    <w:rsid w:val="003D2E3D"/>
    <w:rsid w:val="003D56C9"/>
    <w:rsid w:val="003D5DBF"/>
    <w:rsid w:val="003D6079"/>
    <w:rsid w:val="003E33EF"/>
    <w:rsid w:val="003E3D38"/>
    <w:rsid w:val="003E4FE7"/>
    <w:rsid w:val="003E63CA"/>
    <w:rsid w:val="003E667E"/>
    <w:rsid w:val="003E6BD8"/>
    <w:rsid w:val="003E7FD0"/>
    <w:rsid w:val="003F0340"/>
    <w:rsid w:val="003F0EA4"/>
    <w:rsid w:val="003F16E6"/>
    <w:rsid w:val="003F2A03"/>
    <w:rsid w:val="003F2ED6"/>
    <w:rsid w:val="003F3486"/>
    <w:rsid w:val="003F4574"/>
    <w:rsid w:val="003F5C80"/>
    <w:rsid w:val="003F6942"/>
    <w:rsid w:val="003F6B56"/>
    <w:rsid w:val="003F7393"/>
    <w:rsid w:val="0040161A"/>
    <w:rsid w:val="00401774"/>
    <w:rsid w:val="00401A74"/>
    <w:rsid w:val="0040301B"/>
    <w:rsid w:val="00403B4B"/>
    <w:rsid w:val="00405D09"/>
    <w:rsid w:val="00406912"/>
    <w:rsid w:val="0040746E"/>
    <w:rsid w:val="004076AC"/>
    <w:rsid w:val="0041065F"/>
    <w:rsid w:val="00411B83"/>
    <w:rsid w:val="004123CA"/>
    <w:rsid w:val="00412CB0"/>
    <w:rsid w:val="00412D28"/>
    <w:rsid w:val="00415099"/>
    <w:rsid w:val="00417051"/>
    <w:rsid w:val="00420208"/>
    <w:rsid w:val="00420656"/>
    <w:rsid w:val="004213BC"/>
    <w:rsid w:val="00423F99"/>
    <w:rsid w:val="00424251"/>
    <w:rsid w:val="004306DA"/>
    <w:rsid w:val="004311BE"/>
    <w:rsid w:val="0043237B"/>
    <w:rsid w:val="004324BB"/>
    <w:rsid w:val="00435556"/>
    <w:rsid w:val="00435A64"/>
    <w:rsid w:val="004373B9"/>
    <w:rsid w:val="00437809"/>
    <w:rsid w:val="00441829"/>
    <w:rsid w:val="00441E7C"/>
    <w:rsid w:val="0044253C"/>
    <w:rsid w:val="00443925"/>
    <w:rsid w:val="004466A7"/>
    <w:rsid w:val="00447FD2"/>
    <w:rsid w:val="00451963"/>
    <w:rsid w:val="00451C8F"/>
    <w:rsid w:val="00454129"/>
    <w:rsid w:val="00454250"/>
    <w:rsid w:val="00454AE1"/>
    <w:rsid w:val="00456250"/>
    <w:rsid w:val="0046161E"/>
    <w:rsid w:val="00461C30"/>
    <w:rsid w:val="00462592"/>
    <w:rsid w:val="00463B0D"/>
    <w:rsid w:val="0046425D"/>
    <w:rsid w:val="00464409"/>
    <w:rsid w:val="004644D4"/>
    <w:rsid w:val="004649FD"/>
    <w:rsid w:val="00466C1E"/>
    <w:rsid w:val="0047083F"/>
    <w:rsid w:val="004709E4"/>
    <w:rsid w:val="004714CF"/>
    <w:rsid w:val="00471984"/>
    <w:rsid w:val="004730F8"/>
    <w:rsid w:val="00474420"/>
    <w:rsid w:val="00474714"/>
    <w:rsid w:val="00480484"/>
    <w:rsid w:val="00480F7F"/>
    <w:rsid w:val="00482D09"/>
    <w:rsid w:val="00482E20"/>
    <w:rsid w:val="004833FD"/>
    <w:rsid w:val="0048365A"/>
    <w:rsid w:val="004842C3"/>
    <w:rsid w:val="00484C0D"/>
    <w:rsid w:val="00484E35"/>
    <w:rsid w:val="00487AC2"/>
    <w:rsid w:val="0049279C"/>
    <w:rsid w:val="00493E27"/>
    <w:rsid w:val="00494605"/>
    <w:rsid w:val="00496633"/>
    <w:rsid w:val="00497D8B"/>
    <w:rsid w:val="004A07A5"/>
    <w:rsid w:val="004A47F5"/>
    <w:rsid w:val="004A56B0"/>
    <w:rsid w:val="004A5D92"/>
    <w:rsid w:val="004A67F1"/>
    <w:rsid w:val="004A6987"/>
    <w:rsid w:val="004A7484"/>
    <w:rsid w:val="004B04CF"/>
    <w:rsid w:val="004B1994"/>
    <w:rsid w:val="004B1F00"/>
    <w:rsid w:val="004B2344"/>
    <w:rsid w:val="004B263B"/>
    <w:rsid w:val="004B2861"/>
    <w:rsid w:val="004B35C6"/>
    <w:rsid w:val="004B5686"/>
    <w:rsid w:val="004C0174"/>
    <w:rsid w:val="004C041A"/>
    <w:rsid w:val="004C0ECA"/>
    <w:rsid w:val="004C1616"/>
    <w:rsid w:val="004C187E"/>
    <w:rsid w:val="004C293C"/>
    <w:rsid w:val="004C3F0D"/>
    <w:rsid w:val="004C4F16"/>
    <w:rsid w:val="004C5223"/>
    <w:rsid w:val="004C5E7B"/>
    <w:rsid w:val="004D30E1"/>
    <w:rsid w:val="004D3E91"/>
    <w:rsid w:val="004D41B8"/>
    <w:rsid w:val="004D47D0"/>
    <w:rsid w:val="004D5BEA"/>
    <w:rsid w:val="004D6FA0"/>
    <w:rsid w:val="004E0191"/>
    <w:rsid w:val="004E048E"/>
    <w:rsid w:val="004E1598"/>
    <w:rsid w:val="004E283B"/>
    <w:rsid w:val="004E2DD2"/>
    <w:rsid w:val="004E360F"/>
    <w:rsid w:val="004E3EA4"/>
    <w:rsid w:val="004E4A13"/>
    <w:rsid w:val="004E6076"/>
    <w:rsid w:val="004F4FB2"/>
    <w:rsid w:val="004F53E3"/>
    <w:rsid w:val="004F542A"/>
    <w:rsid w:val="004F5641"/>
    <w:rsid w:val="004F5A19"/>
    <w:rsid w:val="004F5AA8"/>
    <w:rsid w:val="004F6EBD"/>
    <w:rsid w:val="005008D3"/>
    <w:rsid w:val="0050183B"/>
    <w:rsid w:val="00502DDD"/>
    <w:rsid w:val="00503454"/>
    <w:rsid w:val="005111D4"/>
    <w:rsid w:val="00513054"/>
    <w:rsid w:val="00513508"/>
    <w:rsid w:val="00513E7E"/>
    <w:rsid w:val="00514E3F"/>
    <w:rsid w:val="00514F2B"/>
    <w:rsid w:val="00515F9B"/>
    <w:rsid w:val="00516599"/>
    <w:rsid w:val="00516B8D"/>
    <w:rsid w:val="0052034A"/>
    <w:rsid w:val="00520EA4"/>
    <w:rsid w:val="00521715"/>
    <w:rsid w:val="00521728"/>
    <w:rsid w:val="00521938"/>
    <w:rsid w:val="005219C2"/>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45F75"/>
    <w:rsid w:val="00545F9F"/>
    <w:rsid w:val="00550363"/>
    <w:rsid w:val="00551999"/>
    <w:rsid w:val="0055233A"/>
    <w:rsid w:val="005536C2"/>
    <w:rsid w:val="00553CB3"/>
    <w:rsid w:val="0055463A"/>
    <w:rsid w:val="00556D2F"/>
    <w:rsid w:val="00556DC7"/>
    <w:rsid w:val="0056081A"/>
    <w:rsid w:val="005620D4"/>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26C"/>
    <w:rsid w:val="005774CE"/>
    <w:rsid w:val="00577617"/>
    <w:rsid w:val="0058098D"/>
    <w:rsid w:val="0058137B"/>
    <w:rsid w:val="00582B71"/>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B048C"/>
    <w:rsid w:val="005B0F75"/>
    <w:rsid w:val="005B1C69"/>
    <w:rsid w:val="005B33F8"/>
    <w:rsid w:val="005B3728"/>
    <w:rsid w:val="005C02A4"/>
    <w:rsid w:val="005C0524"/>
    <w:rsid w:val="005C0DBF"/>
    <w:rsid w:val="005C0F25"/>
    <w:rsid w:val="005C1613"/>
    <w:rsid w:val="005C1E73"/>
    <w:rsid w:val="005C2562"/>
    <w:rsid w:val="005C36E3"/>
    <w:rsid w:val="005C385D"/>
    <w:rsid w:val="005C4BC3"/>
    <w:rsid w:val="005C58B3"/>
    <w:rsid w:val="005D0934"/>
    <w:rsid w:val="005D0D10"/>
    <w:rsid w:val="005D1457"/>
    <w:rsid w:val="005D296A"/>
    <w:rsid w:val="005D2D11"/>
    <w:rsid w:val="005D3D25"/>
    <w:rsid w:val="005D413E"/>
    <w:rsid w:val="005D5223"/>
    <w:rsid w:val="005D568E"/>
    <w:rsid w:val="005D67E1"/>
    <w:rsid w:val="005E07B4"/>
    <w:rsid w:val="005E162B"/>
    <w:rsid w:val="005E39FD"/>
    <w:rsid w:val="005E68A5"/>
    <w:rsid w:val="005E7914"/>
    <w:rsid w:val="005E7AE6"/>
    <w:rsid w:val="005F0A69"/>
    <w:rsid w:val="005F253A"/>
    <w:rsid w:val="005F3B9E"/>
    <w:rsid w:val="005F4F77"/>
    <w:rsid w:val="005F52B3"/>
    <w:rsid w:val="005F5707"/>
    <w:rsid w:val="005F7CFC"/>
    <w:rsid w:val="005F7D1B"/>
    <w:rsid w:val="00600110"/>
    <w:rsid w:val="00600180"/>
    <w:rsid w:val="006001E3"/>
    <w:rsid w:val="00600878"/>
    <w:rsid w:val="00601D73"/>
    <w:rsid w:val="006026CF"/>
    <w:rsid w:val="00602CD5"/>
    <w:rsid w:val="00602E51"/>
    <w:rsid w:val="00603BFE"/>
    <w:rsid w:val="006049C8"/>
    <w:rsid w:val="00604EB6"/>
    <w:rsid w:val="00605027"/>
    <w:rsid w:val="0060512E"/>
    <w:rsid w:val="0060657D"/>
    <w:rsid w:val="006071BA"/>
    <w:rsid w:val="00611984"/>
    <w:rsid w:val="00612203"/>
    <w:rsid w:val="00612216"/>
    <w:rsid w:val="006132FB"/>
    <w:rsid w:val="006141F9"/>
    <w:rsid w:val="006145BC"/>
    <w:rsid w:val="0061493C"/>
    <w:rsid w:val="00617C78"/>
    <w:rsid w:val="00622823"/>
    <w:rsid w:val="00623ACB"/>
    <w:rsid w:val="006247D5"/>
    <w:rsid w:val="006253D1"/>
    <w:rsid w:val="006258DA"/>
    <w:rsid w:val="0063046D"/>
    <w:rsid w:val="00631AAA"/>
    <w:rsid w:val="00632109"/>
    <w:rsid w:val="00632BBE"/>
    <w:rsid w:val="00632C87"/>
    <w:rsid w:val="006331B3"/>
    <w:rsid w:val="0063488B"/>
    <w:rsid w:val="006356AA"/>
    <w:rsid w:val="00637A48"/>
    <w:rsid w:val="00637C9C"/>
    <w:rsid w:val="006429DB"/>
    <w:rsid w:val="0064409F"/>
    <w:rsid w:val="006441E4"/>
    <w:rsid w:val="006443DF"/>
    <w:rsid w:val="00645997"/>
    <w:rsid w:val="00646603"/>
    <w:rsid w:val="00650760"/>
    <w:rsid w:val="006519BC"/>
    <w:rsid w:val="00651FB7"/>
    <w:rsid w:val="006537A5"/>
    <w:rsid w:val="00653A66"/>
    <w:rsid w:val="0065446E"/>
    <w:rsid w:val="00654B92"/>
    <w:rsid w:val="0065525F"/>
    <w:rsid w:val="00655EB2"/>
    <w:rsid w:val="006572AD"/>
    <w:rsid w:val="00660015"/>
    <w:rsid w:val="00661352"/>
    <w:rsid w:val="006619E0"/>
    <w:rsid w:val="00661A17"/>
    <w:rsid w:val="0066322D"/>
    <w:rsid w:val="00663540"/>
    <w:rsid w:val="006653EB"/>
    <w:rsid w:val="00667535"/>
    <w:rsid w:val="00672D27"/>
    <w:rsid w:val="00673C62"/>
    <w:rsid w:val="0067443A"/>
    <w:rsid w:val="00675B86"/>
    <w:rsid w:val="00676142"/>
    <w:rsid w:val="00677384"/>
    <w:rsid w:val="006774BF"/>
    <w:rsid w:val="00681C53"/>
    <w:rsid w:val="006822AA"/>
    <w:rsid w:val="006900AA"/>
    <w:rsid w:val="0069052B"/>
    <w:rsid w:val="00693B49"/>
    <w:rsid w:val="006942ED"/>
    <w:rsid w:val="006944EF"/>
    <w:rsid w:val="006952D9"/>
    <w:rsid w:val="006966D2"/>
    <w:rsid w:val="00696722"/>
    <w:rsid w:val="00696AA9"/>
    <w:rsid w:val="006A04E9"/>
    <w:rsid w:val="006A289F"/>
    <w:rsid w:val="006A291D"/>
    <w:rsid w:val="006A33FB"/>
    <w:rsid w:val="006A7D6D"/>
    <w:rsid w:val="006B1FE7"/>
    <w:rsid w:val="006B33DA"/>
    <w:rsid w:val="006B4558"/>
    <w:rsid w:val="006B4727"/>
    <w:rsid w:val="006B48DC"/>
    <w:rsid w:val="006B72E6"/>
    <w:rsid w:val="006C01C2"/>
    <w:rsid w:val="006C1B54"/>
    <w:rsid w:val="006C2C92"/>
    <w:rsid w:val="006C3CF4"/>
    <w:rsid w:val="006C4213"/>
    <w:rsid w:val="006C54B8"/>
    <w:rsid w:val="006C5BA2"/>
    <w:rsid w:val="006C7E6F"/>
    <w:rsid w:val="006D1933"/>
    <w:rsid w:val="006D1AE9"/>
    <w:rsid w:val="006D2166"/>
    <w:rsid w:val="006D3DF1"/>
    <w:rsid w:val="006D5097"/>
    <w:rsid w:val="006D5AC5"/>
    <w:rsid w:val="006E02F0"/>
    <w:rsid w:val="006E2D9E"/>
    <w:rsid w:val="006E3A6B"/>
    <w:rsid w:val="006E6103"/>
    <w:rsid w:val="006E77DD"/>
    <w:rsid w:val="006E78A6"/>
    <w:rsid w:val="006E7F02"/>
    <w:rsid w:val="006F0A08"/>
    <w:rsid w:val="006F0CCF"/>
    <w:rsid w:val="006F2058"/>
    <w:rsid w:val="006F23B1"/>
    <w:rsid w:val="006F276A"/>
    <w:rsid w:val="006F288E"/>
    <w:rsid w:val="006F2F5C"/>
    <w:rsid w:val="006F4379"/>
    <w:rsid w:val="006F4C3C"/>
    <w:rsid w:val="006F5412"/>
    <w:rsid w:val="006F6AC2"/>
    <w:rsid w:val="006F74DC"/>
    <w:rsid w:val="007004C7"/>
    <w:rsid w:val="0070074D"/>
    <w:rsid w:val="00702079"/>
    <w:rsid w:val="007025F4"/>
    <w:rsid w:val="00703446"/>
    <w:rsid w:val="0070431B"/>
    <w:rsid w:val="007058F3"/>
    <w:rsid w:val="00707693"/>
    <w:rsid w:val="007103D4"/>
    <w:rsid w:val="0071190A"/>
    <w:rsid w:val="007149DA"/>
    <w:rsid w:val="007156AF"/>
    <w:rsid w:val="00720256"/>
    <w:rsid w:val="00721EA3"/>
    <w:rsid w:val="0072758C"/>
    <w:rsid w:val="007277F5"/>
    <w:rsid w:val="0073056A"/>
    <w:rsid w:val="00730FA6"/>
    <w:rsid w:val="00731487"/>
    <w:rsid w:val="007314A9"/>
    <w:rsid w:val="00731CA2"/>
    <w:rsid w:val="00732B8A"/>
    <w:rsid w:val="00732D19"/>
    <w:rsid w:val="00734272"/>
    <w:rsid w:val="0073556E"/>
    <w:rsid w:val="0073581C"/>
    <w:rsid w:val="00736F40"/>
    <w:rsid w:val="007375D6"/>
    <w:rsid w:val="007420CD"/>
    <w:rsid w:val="00742C34"/>
    <w:rsid w:val="007439D3"/>
    <w:rsid w:val="00743BF7"/>
    <w:rsid w:val="0074488D"/>
    <w:rsid w:val="0075037E"/>
    <w:rsid w:val="00750AF2"/>
    <w:rsid w:val="00751158"/>
    <w:rsid w:val="00753BE8"/>
    <w:rsid w:val="00754388"/>
    <w:rsid w:val="00755CE2"/>
    <w:rsid w:val="007565D8"/>
    <w:rsid w:val="00757C3E"/>
    <w:rsid w:val="00757C47"/>
    <w:rsid w:val="007615D9"/>
    <w:rsid w:val="00762268"/>
    <w:rsid w:val="00762F48"/>
    <w:rsid w:val="00764D64"/>
    <w:rsid w:val="007655CF"/>
    <w:rsid w:val="00767B7C"/>
    <w:rsid w:val="00770054"/>
    <w:rsid w:val="007723AF"/>
    <w:rsid w:val="00773003"/>
    <w:rsid w:val="00773067"/>
    <w:rsid w:val="00773A43"/>
    <w:rsid w:val="00773EBC"/>
    <w:rsid w:val="00774FD3"/>
    <w:rsid w:val="007769DF"/>
    <w:rsid w:val="00776BBF"/>
    <w:rsid w:val="00777069"/>
    <w:rsid w:val="00777439"/>
    <w:rsid w:val="00777526"/>
    <w:rsid w:val="0078137F"/>
    <w:rsid w:val="007818C3"/>
    <w:rsid w:val="00782722"/>
    <w:rsid w:val="00782910"/>
    <w:rsid w:val="00786193"/>
    <w:rsid w:val="007909DA"/>
    <w:rsid w:val="00790B78"/>
    <w:rsid w:val="0079158C"/>
    <w:rsid w:val="00794967"/>
    <w:rsid w:val="0079582C"/>
    <w:rsid w:val="00796CB0"/>
    <w:rsid w:val="007972C6"/>
    <w:rsid w:val="007A1F12"/>
    <w:rsid w:val="007A327C"/>
    <w:rsid w:val="007A3544"/>
    <w:rsid w:val="007A40B0"/>
    <w:rsid w:val="007A799B"/>
    <w:rsid w:val="007B2FE4"/>
    <w:rsid w:val="007B36E3"/>
    <w:rsid w:val="007B3E3B"/>
    <w:rsid w:val="007B4793"/>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C18"/>
    <w:rsid w:val="007D6E9A"/>
    <w:rsid w:val="007D78B3"/>
    <w:rsid w:val="007D7D18"/>
    <w:rsid w:val="007E4229"/>
    <w:rsid w:val="007E5962"/>
    <w:rsid w:val="007E6739"/>
    <w:rsid w:val="007E7450"/>
    <w:rsid w:val="007E7A7E"/>
    <w:rsid w:val="007F00B0"/>
    <w:rsid w:val="007F4F8F"/>
    <w:rsid w:val="007F538E"/>
    <w:rsid w:val="007F5F1B"/>
    <w:rsid w:val="007F6AFD"/>
    <w:rsid w:val="007F79BD"/>
    <w:rsid w:val="00800925"/>
    <w:rsid w:val="00800EC0"/>
    <w:rsid w:val="00802736"/>
    <w:rsid w:val="00802877"/>
    <w:rsid w:val="00802B2A"/>
    <w:rsid w:val="00805D8D"/>
    <w:rsid w:val="00807FF7"/>
    <w:rsid w:val="0081033E"/>
    <w:rsid w:val="00810D49"/>
    <w:rsid w:val="008113C8"/>
    <w:rsid w:val="008114B3"/>
    <w:rsid w:val="00811DAC"/>
    <w:rsid w:val="00815563"/>
    <w:rsid w:val="00815BB8"/>
    <w:rsid w:val="008167D5"/>
    <w:rsid w:val="008168EE"/>
    <w:rsid w:val="00817DFF"/>
    <w:rsid w:val="00820352"/>
    <w:rsid w:val="00820794"/>
    <w:rsid w:val="00820C71"/>
    <w:rsid w:val="00820DB7"/>
    <w:rsid w:val="00822CD5"/>
    <w:rsid w:val="00823256"/>
    <w:rsid w:val="00823500"/>
    <w:rsid w:val="0082393E"/>
    <w:rsid w:val="008241C7"/>
    <w:rsid w:val="008263C1"/>
    <w:rsid w:val="00826474"/>
    <w:rsid w:val="008276B2"/>
    <w:rsid w:val="00830523"/>
    <w:rsid w:val="0083223B"/>
    <w:rsid w:val="00832955"/>
    <w:rsid w:val="00832F7A"/>
    <w:rsid w:val="0083335C"/>
    <w:rsid w:val="00833657"/>
    <w:rsid w:val="008357E8"/>
    <w:rsid w:val="00840ED5"/>
    <w:rsid w:val="00842716"/>
    <w:rsid w:val="00842AD5"/>
    <w:rsid w:val="00844CF2"/>
    <w:rsid w:val="00845952"/>
    <w:rsid w:val="008459E1"/>
    <w:rsid w:val="00845EF6"/>
    <w:rsid w:val="00846C3D"/>
    <w:rsid w:val="008470C4"/>
    <w:rsid w:val="0084770A"/>
    <w:rsid w:val="008478AC"/>
    <w:rsid w:val="00850642"/>
    <w:rsid w:val="008516F3"/>
    <w:rsid w:val="008539DF"/>
    <w:rsid w:val="00856CDA"/>
    <w:rsid w:val="008573E2"/>
    <w:rsid w:val="008620F6"/>
    <w:rsid w:val="008624D8"/>
    <w:rsid w:val="008630BA"/>
    <w:rsid w:val="0086433A"/>
    <w:rsid w:val="008643A9"/>
    <w:rsid w:val="00864C50"/>
    <w:rsid w:val="00864FE6"/>
    <w:rsid w:val="008655F4"/>
    <w:rsid w:val="008659FD"/>
    <w:rsid w:val="00866F4E"/>
    <w:rsid w:val="00870F4E"/>
    <w:rsid w:val="00872C30"/>
    <w:rsid w:val="008736CF"/>
    <w:rsid w:val="00873BBE"/>
    <w:rsid w:val="008742BD"/>
    <w:rsid w:val="00874341"/>
    <w:rsid w:val="0087478F"/>
    <w:rsid w:val="00875144"/>
    <w:rsid w:val="00876082"/>
    <w:rsid w:val="0087691B"/>
    <w:rsid w:val="008805C8"/>
    <w:rsid w:val="00881BEF"/>
    <w:rsid w:val="008838EF"/>
    <w:rsid w:val="00883D58"/>
    <w:rsid w:val="00885671"/>
    <w:rsid w:val="00885AD1"/>
    <w:rsid w:val="00886319"/>
    <w:rsid w:val="0089054E"/>
    <w:rsid w:val="0089088D"/>
    <w:rsid w:val="00891820"/>
    <w:rsid w:val="00892C87"/>
    <w:rsid w:val="00894C50"/>
    <w:rsid w:val="00894DC8"/>
    <w:rsid w:val="00895EF7"/>
    <w:rsid w:val="00895F89"/>
    <w:rsid w:val="008963AC"/>
    <w:rsid w:val="008966AD"/>
    <w:rsid w:val="008969D8"/>
    <w:rsid w:val="00897AB8"/>
    <w:rsid w:val="00897BFB"/>
    <w:rsid w:val="008A1478"/>
    <w:rsid w:val="008A15AF"/>
    <w:rsid w:val="008A16E6"/>
    <w:rsid w:val="008A1B6F"/>
    <w:rsid w:val="008A338A"/>
    <w:rsid w:val="008A4453"/>
    <w:rsid w:val="008A44D6"/>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B7E36"/>
    <w:rsid w:val="008C0B84"/>
    <w:rsid w:val="008C10B0"/>
    <w:rsid w:val="008C1333"/>
    <w:rsid w:val="008C155F"/>
    <w:rsid w:val="008C2121"/>
    <w:rsid w:val="008C5356"/>
    <w:rsid w:val="008C568D"/>
    <w:rsid w:val="008D0B37"/>
    <w:rsid w:val="008D64D4"/>
    <w:rsid w:val="008D7129"/>
    <w:rsid w:val="008D7680"/>
    <w:rsid w:val="008E12FF"/>
    <w:rsid w:val="008E3652"/>
    <w:rsid w:val="008E3672"/>
    <w:rsid w:val="008E49AB"/>
    <w:rsid w:val="008E5316"/>
    <w:rsid w:val="008F056B"/>
    <w:rsid w:val="008F0CF5"/>
    <w:rsid w:val="008F164F"/>
    <w:rsid w:val="008F2151"/>
    <w:rsid w:val="008F235D"/>
    <w:rsid w:val="008F45AC"/>
    <w:rsid w:val="008F4733"/>
    <w:rsid w:val="008F4E5A"/>
    <w:rsid w:val="008F4EF3"/>
    <w:rsid w:val="008F5430"/>
    <w:rsid w:val="008F5933"/>
    <w:rsid w:val="008F5C9C"/>
    <w:rsid w:val="008F6D58"/>
    <w:rsid w:val="008F6EFE"/>
    <w:rsid w:val="008F708E"/>
    <w:rsid w:val="0090039A"/>
    <w:rsid w:val="00902118"/>
    <w:rsid w:val="00903CC7"/>
    <w:rsid w:val="00906016"/>
    <w:rsid w:val="00907C20"/>
    <w:rsid w:val="00910949"/>
    <w:rsid w:val="0091195E"/>
    <w:rsid w:val="00913164"/>
    <w:rsid w:val="0091394B"/>
    <w:rsid w:val="0091566D"/>
    <w:rsid w:val="009159E2"/>
    <w:rsid w:val="0091612C"/>
    <w:rsid w:val="00916652"/>
    <w:rsid w:val="009177DB"/>
    <w:rsid w:val="00917A1B"/>
    <w:rsid w:val="00917AC1"/>
    <w:rsid w:val="00917FE3"/>
    <w:rsid w:val="00920870"/>
    <w:rsid w:val="00921AE0"/>
    <w:rsid w:val="00922515"/>
    <w:rsid w:val="00923251"/>
    <w:rsid w:val="00923D9A"/>
    <w:rsid w:val="009244C1"/>
    <w:rsid w:val="0092487E"/>
    <w:rsid w:val="0092553A"/>
    <w:rsid w:val="00927BA4"/>
    <w:rsid w:val="009301F2"/>
    <w:rsid w:val="00932300"/>
    <w:rsid w:val="0093492C"/>
    <w:rsid w:val="009353C2"/>
    <w:rsid w:val="009364B7"/>
    <w:rsid w:val="00940901"/>
    <w:rsid w:val="0094113D"/>
    <w:rsid w:val="009418D0"/>
    <w:rsid w:val="00941FB8"/>
    <w:rsid w:val="0094203F"/>
    <w:rsid w:val="009437BD"/>
    <w:rsid w:val="009458FF"/>
    <w:rsid w:val="00945D86"/>
    <w:rsid w:val="009463C4"/>
    <w:rsid w:val="009477E1"/>
    <w:rsid w:val="0095031E"/>
    <w:rsid w:val="00950872"/>
    <w:rsid w:val="0095251E"/>
    <w:rsid w:val="00952714"/>
    <w:rsid w:val="00953127"/>
    <w:rsid w:val="00954137"/>
    <w:rsid w:val="00954BB8"/>
    <w:rsid w:val="00955BF1"/>
    <w:rsid w:val="00957043"/>
    <w:rsid w:val="00957060"/>
    <w:rsid w:val="00957510"/>
    <w:rsid w:val="00960EC6"/>
    <w:rsid w:val="0096238F"/>
    <w:rsid w:val="00963062"/>
    <w:rsid w:val="009632A0"/>
    <w:rsid w:val="00964A60"/>
    <w:rsid w:val="00964DCC"/>
    <w:rsid w:val="009650A6"/>
    <w:rsid w:val="009657FF"/>
    <w:rsid w:val="0096610B"/>
    <w:rsid w:val="00966C57"/>
    <w:rsid w:val="00970543"/>
    <w:rsid w:val="0097113C"/>
    <w:rsid w:val="00971B77"/>
    <w:rsid w:val="009729F0"/>
    <w:rsid w:val="009743B6"/>
    <w:rsid w:val="009749E4"/>
    <w:rsid w:val="00974D23"/>
    <w:rsid w:val="00975CBF"/>
    <w:rsid w:val="00975FE5"/>
    <w:rsid w:val="009768AE"/>
    <w:rsid w:val="00980D38"/>
    <w:rsid w:val="00982AAB"/>
    <w:rsid w:val="0098545B"/>
    <w:rsid w:val="00986365"/>
    <w:rsid w:val="009869E9"/>
    <w:rsid w:val="00986BC3"/>
    <w:rsid w:val="00987C1E"/>
    <w:rsid w:val="00987EEE"/>
    <w:rsid w:val="00987FFE"/>
    <w:rsid w:val="00991656"/>
    <w:rsid w:val="00996671"/>
    <w:rsid w:val="009A00D4"/>
    <w:rsid w:val="009A1077"/>
    <w:rsid w:val="009A407A"/>
    <w:rsid w:val="009A6CA9"/>
    <w:rsid w:val="009A76C0"/>
    <w:rsid w:val="009B0197"/>
    <w:rsid w:val="009B0DC1"/>
    <w:rsid w:val="009B0E24"/>
    <w:rsid w:val="009B11E3"/>
    <w:rsid w:val="009B20EA"/>
    <w:rsid w:val="009B2C65"/>
    <w:rsid w:val="009B49CD"/>
    <w:rsid w:val="009B515F"/>
    <w:rsid w:val="009B5552"/>
    <w:rsid w:val="009B64AA"/>
    <w:rsid w:val="009B66AA"/>
    <w:rsid w:val="009B68CB"/>
    <w:rsid w:val="009B7AB2"/>
    <w:rsid w:val="009C1642"/>
    <w:rsid w:val="009C26AF"/>
    <w:rsid w:val="009C379E"/>
    <w:rsid w:val="009C4575"/>
    <w:rsid w:val="009C4A84"/>
    <w:rsid w:val="009C5253"/>
    <w:rsid w:val="009C5E39"/>
    <w:rsid w:val="009C6E8E"/>
    <w:rsid w:val="009C74FB"/>
    <w:rsid w:val="009D20E7"/>
    <w:rsid w:val="009D5D4C"/>
    <w:rsid w:val="009E139D"/>
    <w:rsid w:val="009E13DF"/>
    <w:rsid w:val="009E13F9"/>
    <w:rsid w:val="009E1523"/>
    <w:rsid w:val="009E2520"/>
    <w:rsid w:val="009E4791"/>
    <w:rsid w:val="009E51F8"/>
    <w:rsid w:val="009E71C0"/>
    <w:rsid w:val="009F1285"/>
    <w:rsid w:val="009F239C"/>
    <w:rsid w:val="009F23C4"/>
    <w:rsid w:val="009F270C"/>
    <w:rsid w:val="009F564C"/>
    <w:rsid w:val="009F5E29"/>
    <w:rsid w:val="009F6EB8"/>
    <w:rsid w:val="00A002D1"/>
    <w:rsid w:val="00A018A3"/>
    <w:rsid w:val="00A01B1B"/>
    <w:rsid w:val="00A02E76"/>
    <w:rsid w:val="00A031F9"/>
    <w:rsid w:val="00A045DD"/>
    <w:rsid w:val="00A06D66"/>
    <w:rsid w:val="00A073BF"/>
    <w:rsid w:val="00A07E0D"/>
    <w:rsid w:val="00A1075C"/>
    <w:rsid w:val="00A10B76"/>
    <w:rsid w:val="00A11793"/>
    <w:rsid w:val="00A144D5"/>
    <w:rsid w:val="00A14DCC"/>
    <w:rsid w:val="00A16DA6"/>
    <w:rsid w:val="00A178F1"/>
    <w:rsid w:val="00A22834"/>
    <w:rsid w:val="00A22D6C"/>
    <w:rsid w:val="00A23134"/>
    <w:rsid w:val="00A235BA"/>
    <w:rsid w:val="00A23892"/>
    <w:rsid w:val="00A23B93"/>
    <w:rsid w:val="00A33146"/>
    <w:rsid w:val="00A344CA"/>
    <w:rsid w:val="00A35A05"/>
    <w:rsid w:val="00A363B6"/>
    <w:rsid w:val="00A369AA"/>
    <w:rsid w:val="00A371F2"/>
    <w:rsid w:val="00A37637"/>
    <w:rsid w:val="00A404C5"/>
    <w:rsid w:val="00A421CE"/>
    <w:rsid w:val="00A422D8"/>
    <w:rsid w:val="00A425D2"/>
    <w:rsid w:val="00A44CF1"/>
    <w:rsid w:val="00A450C9"/>
    <w:rsid w:val="00A45D7D"/>
    <w:rsid w:val="00A46101"/>
    <w:rsid w:val="00A46BF5"/>
    <w:rsid w:val="00A47F7A"/>
    <w:rsid w:val="00A501B6"/>
    <w:rsid w:val="00A51FF5"/>
    <w:rsid w:val="00A52E61"/>
    <w:rsid w:val="00A54D75"/>
    <w:rsid w:val="00A55A0E"/>
    <w:rsid w:val="00A56303"/>
    <w:rsid w:val="00A56327"/>
    <w:rsid w:val="00A56749"/>
    <w:rsid w:val="00A60254"/>
    <w:rsid w:val="00A6063E"/>
    <w:rsid w:val="00A632C0"/>
    <w:rsid w:val="00A634CF"/>
    <w:rsid w:val="00A64BF1"/>
    <w:rsid w:val="00A65407"/>
    <w:rsid w:val="00A700FE"/>
    <w:rsid w:val="00A70107"/>
    <w:rsid w:val="00A70968"/>
    <w:rsid w:val="00A70B74"/>
    <w:rsid w:val="00A74179"/>
    <w:rsid w:val="00A74CAF"/>
    <w:rsid w:val="00A764EF"/>
    <w:rsid w:val="00A804EE"/>
    <w:rsid w:val="00A8050B"/>
    <w:rsid w:val="00A8077E"/>
    <w:rsid w:val="00A8166B"/>
    <w:rsid w:val="00A82B03"/>
    <w:rsid w:val="00A83676"/>
    <w:rsid w:val="00A852D6"/>
    <w:rsid w:val="00A85EE5"/>
    <w:rsid w:val="00A86A0C"/>
    <w:rsid w:val="00A8751B"/>
    <w:rsid w:val="00A90730"/>
    <w:rsid w:val="00A90E13"/>
    <w:rsid w:val="00A9143E"/>
    <w:rsid w:val="00A92A29"/>
    <w:rsid w:val="00A92C80"/>
    <w:rsid w:val="00A94BD0"/>
    <w:rsid w:val="00A94FC9"/>
    <w:rsid w:val="00A95577"/>
    <w:rsid w:val="00A9624B"/>
    <w:rsid w:val="00A96270"/>
    <w:rsid w:val="00A96C1F"/>
    <w:rsid w:val="00A97E66"/>
    <w:rsid w:val="00A97FC6"/>
    <w:rsid w:val="00AA16F7"/>
    <w:rsid w:val="00AA1AB3"/>
    <w:rsid w:val="00AA3279"/>
    <w:rsid w:val="00AA35F1"/>
    <w:rsid w:val="00AA526E"/>
    <w:rsid w:val="00AA6498"/>
    <w:rsid w:val="00AA6892"/>
    <w:rsid w:val="00AA7AE3"/>
    <w:rsid w:val="00AB0983"/>
    <w:rsid w:val="00AB2062"/>
    <w:rsid w:val="00AB31F3"/>
    <w:rsid w:val="00AB3613"/>
    <w:rsid w:val="00AB5524"/>
    <w:rsid w:val="00AB5D6A"/>
    <w:rsid w:val="00AB5DBD"/>
    <w:rsid w:val="00AB7FCC"/>
    <w:rsid w:val="00AC2CB6"/>
    <w:rsid w:val="00AC4184"/>
    <w:rsid w:val="00AC4CD6"/>
    <w:rsid w:val="00AD1464"/>
    <w:rsid w:val="00AD1B16"/>
    <w:rsid w:val="00AD27C1"/>
    <w:rsid w:val="00AD344C"/>
    <w:rsid w:val="00AD46DD"/>
    <w:rsid w:val="00AD4F95"/>
    <w:rsid w:val="00AD5E8D"/>
    <w:rsid w:val="00AE0E84"/>
    <w:rsid w:val="00AE2CC1"/>
    <w:rsid w:val="00AE30F7"/>
    <w:rsid w:val="00AE32DD"/>
    <w:rsid w:val="00AF18C2"/>
    <w:rsid w:val="00AF2E6E"/>
    <w:rsid w:val="00AF357E"/>
    <w:rsid w:val="00AF4311"/>
    <w:rsid w:val="00AF4C0F"/>
    <w:rsid w:val="00AF4DBC"/>
    <w:rsid w:val="00AF68D1"/>
    <w:rsid w:val="00B006FD"/>
    <w:rsid w:val="00B02718"/>
    <w:rsid w:val="00B037B1"/>
    <w:rsid w:val="00B0402E"/>
    <w:rsid w:val="00B04DFA"/>
    <w:rsid w:val="00B052B4"/>
    <w:rsid w:val="00B06D4E"/>
    <w:rsid w:val="00B073ED"/>
    <w:rsid w:val="00B10AE5"/>
    <w:rsid w:val="00B10DA4"/>
    <w:rsid w:val="00B11CB7"/>
    <w:rsid w:val="00B134D1"/>
    <w:rsid w:val="00B143E2"/>
    <w:rsid w:val="00B146E2"/>
    <w:rsid w:val="00B14AB7"/>
    <w:rsid w:val="00B15C1F"/>
    <w:rsid w:val="00B207BD"/>
    <w:rsid w:val="00B22704"/>
    <w:rsid w:val="00B22AC4"/>
    <w:rsid w:val="00B2337A"/>
    <w:rsid w:val="00B23F18"/>
    <w:rsid w:val="00B25752"/>
    <w:rsid w:val="00B263F6"/>
    <w:rsid w:val="00B27A40"/>
    <w:rsid w:val="00B3039C"/>
    <w:rsid w:val="00B32FA6"/>
    <w:rsid w:val="00B33522"/>
    <w:rsid w:val="00B35B7E"/>
    <w:rsid w:val="00B3680C"/>
    <w:rsid w:val="00B36DB2"/>
    <w:rsid w:val="00B37267"/>
    <w:rsid w:val="00B37C20"/>
    <w:rsid w:val="00B41E9F"/>
    <w:rsid w:val="00B42449"/>
    <w:rsid w:val="00B461D7"/>
    <w:rsid w:val="00B50783"/>
    <w:rsid w:val="00B51469"/>
    <w:rsid w:val="00B5253D"/>
    <w:rsid w:val="00B54550"/>
    <w:rsid w:val="00B556D9"/>
    <w:rsid w:val="00B558BB"/>
    <w:rsid w:val="00B6039D"/>
    <w:rsid w:val="00B60A59"/>
    <w:rsid w:val="00B611B8"/>
    <w:rsid w:val="00B61C6A"/>
    <w:rsid w:val="00B628F8"/>
    <w:rsid w:val="00B62B88"/>
    <w:rsid w:val="00B6605D"/>
    <w:rsid w:val="00B67BC6"/>
    <w:rsid w:val="00B73EB9"/>
    <w:rsid w:val="00B808C4"/>
    <w:rsid w:val="00B818B2"/>
    <w:rsid w:val="00B81C74"/>
    <w:rsid w:val="00B82BF9"/>
    <w:rsid w:val="00B83E59"/>
    <w:rsid w:val="00B849EE"/>
    <w:rsid w:val="00B84D02"/>
    <w:rsid w:val="00B850E5"/>
    <w:rsid w:val="00B85A60"/>
    <w:rsid w:val="00B86673"/>
    <w:rsid w:val="00B870E0"/>
    <w:rsid w:val="00B87589"/>
    <w:rsid w:val="00B93C50"/>
    <w:rsid w:val="00B95032"/>
    <w:rsid w:val="00B95727"/>
    <w:rsid w:val="00B97444"/>
    <w:rsid w:val="00BA0268"/>
    <w:rsid w:val="00BA1AD8"/>
    <w:rsid w:val="00BA1ADB"/>
    <w:rsid w:val="00BA26B4"/>
    <w:rsid w:val="00BA2940"/>
    <w:rsid w:val="00BA32D0"/>
    <w:rsid w:val="00BA36BE"/>
    <w:rsid w:val="00BA3B1D"/>
    <w:rsid w:val="00BA58E7"/>
    <w:rsid w:val="00BA6A54"/>
    <w:rsid w:val="00BA6E67"/>
    <w:rsid w:val="00BA7B26"/>
    <w:rsid w:val="00BB02D0"/>
    <w:rsid w:val="00BB1526"/>
    <w:rsid w:val="00BB327F"/>
    <w:rsid w:val="00BB3832"/>
    <w:rsid w:val="00BB7DA9"/>
    <w:rsid w:val="00BC10E3"/>
    <w:rsid w:val="00BC3E0C"/>
    <w:rsid w:val="00BC4AD5"/>
    <w:rsid w:val="00BC6745"/>
    <w:rsid w:val="00BD1AAF"/>
    <w:rsid w:val="00BD248B"/>
    <w:rsid w:val="00BD2A8B"/>
    <w:rsid w:val="00BD3E4E"/>
    <w:rsid w:val="00BD5837"/>
    <w:rsid w:val="00BD74AE"/>
    <w:rsid w:val="00BD7646"/>
    <w:rsid w:val="00BD77D2"/>
    <w:rsid w:val="00BD7BBB"/>
    <w:rsid w:val="00BE0824"/>
    <w:rsid w:val="00BE0A7A"/>
    <w:rsid w:val="00BE40CA"/>
    <w:rsid w:val="00BE43B1"/>
    <w:rsid w:val="00BE47DE"/>
    <w:rsid w:val="00BE5B13"/>
    <w:rsid w:val="00BE5D56"/>
    <w:rsid w:val="00BE7A98"/>
    <w:rsid w:val="00BF11E1"/>
    <w:rsid w:val="00BF2F3A"/>
    <w:rsid w:val="00BF33B5"/>
    <w:rsid w:val="00C00590"/>
    <w:rsid w:val="00C013A1"/>
    <w:rsid w:val="00C01580"/>
    <w:rsid w:val="00C01E9E"/>
    <w:rsid w:val="00C020A8"/>
    <w:rsid w:val="00C03317"/>
    <w:rsid w:val="00C056F4"/>
    <w:rsid w:val="00C0654D"/>
    <w:rsid w:val="00C06709"/>
    <w:rsid w:val="00C06ABE"/>
    <w:rsid w:val="00C07B23"/>
    <w:rsid w:val="00C1028E"/>
    <w:rsid w:val="00C105A6"/>
    <w:rsid w:val="00C10C63"/>
    <w:rsid w:val="00C1279C"/>
    <w:rsid w:val="00C13A31"/>
    <w:rsid w:val="00C14867"/>
    <w:rsid w:val="00C16822"/>
    <w:rsid w:val="00C16E53"/>
    <w:rsid w:val="00C17841"/>
    <w:rsid w:val="00C22F0D"/>
    <w:rsid w:val="00C23773"/>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3C29"/>
    <w:rsid w:val="00C55BBF"/>
    <w:rsid w:val="00C55F01"/>
    <w:rsid w:val="00C564FC"/>
    <w:rsid w:val="00C60544"/>
    <w:rsid w:val="00C6076C"/>
    <w:rsid w:val="00C60DEB"/>
    <w:rsid w:val="00C629E1"/>
    <w:rsid w:val="00C63175"/>
    <w:rsid w:val="00C63521"/>
    <w:rsid w:val="00C63CF1"/>
    <w:rsid w:val="00C64634"/>
    <w:rsid w:val="00C64BB7"/>
    <w:rsid w:val="00C66322"/>
    <w:rsid w:val="00C6715B"/>
    <w:rsid w:val="00C704C3"/>
    <w:rsid w:val="00C706E0"/>
    <w:rsid w:val="00C71D1F"/>
    <w:rsid w:val="00C735F9"/>
    <w:rsid w:val="00C74C79"/>
    <w:rsid w:val="00C7680C"/>
    <w:rsid w:val="00C77A1D"/>
    <w:rsid w:val="00C81A32"/>
    <w:rsid w:val="00C81B7E"/>
    <w:rsid w:val="00C8289F"/>
    <w:rsid w:val="00C83A20"/>
    <w:rsid w:val="00C84D4D"/>
    <w:rsid w:val="00C862B1"/>
    <w:rsid w:val="00C86C59"/>
    <w:rsid w:val="00C86C80"/>
    <w:rsid w:val="00C87443"/>
    <w:rsid w:val="00C87722"/>
    <w:rsid w:val="00C904BE"/>
    <w:rsid w:val="00C90A40"/>
    <w:rsid w:val="00C91C5A"/>
    <w:rsid w:val="00C92668"/>
    <w:rsid w:val="00C92CFE"/>
    <w:rsid w:val="00C95974"/>
    <w:rsid w:val="00C9626A"/>
    <w:rsid w:val="00C97083"/>
    <w:rsid w:val="00C971A6"/>
    <w:rsid w:val="00C97412"/>
    <w:rsid w:val="00CA24BE"/>
    <w:rsid w:val="00CA2A37"/>
    <w:rsid w:val="00CA37AE"/>
    <w:rsid w:val="00CA5CDF"/>
    <w:rsid w:val="00CA631E"/>
    <w:rsid w:val="00CA735D"/>
    <w:rsid w:val="00CA7A99"/>
    <w:rsid w:val="00CB03F7"/>
    <w:rsid w:val="00CB1480"/>
    <w:rsid w:val="00CB1A6E"/>
    <w:rsid w:val="00CB1D42"/>
    <w:rsid w:val="00CB2620"/>
    <w:rsid w:val="00CB45AD"/>
    <w:rsid w:val="00CB72A9"/>
    <w:rsid w:val="00CB7B1B"/>
    <w:rsid w:val="00CC30F9"/>
    <w:rsid w:val="00CC378C"/>
    <w:rsid w:val="00CC3E10"/>
    <w:rsid w:val="00CC4BA1"/>
    <w:rsid w:val="00CC58DC"/>
    <w:rsid w:val="00CC60A4"/>
    <w:rsid w:val="00CC60E1"/>
    <w:rsid w:val="00CC6ACD"/>
    <w:rsid w:val="00CD0525"/>
    <w:rsid w:val="00CD299E"/>
    <w:rsid w:val="00CD49C0"/>
    <w:rsid w:val="00CD4E92"/>
    <w:rsid w:val="00CD656B"/>
    <w:rsid w:val="00CD6D9A"/>
    <w:rsid w:val="00CD7521"/>
    <w:rsid w:val="00CD7F3F"/>
    <w:rsid w:val="00CE038F"/>
    <w:rsid w:val="00CE04CE"/>
    <w:rsid w:val="00CE45FC"/>
    <w:rsid w:val="00CE5C1A"/>
    <w:rsid w:val="00CF289F"/>
    <w:rsid w:val="00CF2D36"/>
    <w:rsid w:val="00CF342E"/>
    <w:rsid w:val="00CF3770"/>
    <w:rsid w:val="00CF6F11"/>
    <w:rsid w:val="00D00E92"/>
    <w:rsid w:val="00D01486"/>
    <w:rsid w:val="00D055EC"/>
    <w:rsid w:val="00D06FE8"/>
    <w:rsid w:val="00D10F96"/>
    <w:rsid w:val="00D11F33"/>
    <w:rsid w:val="00D12198"/>
    <w:rsid w:val="00D12816"/>
    <w:rsid w:val="00D13E7D"/>
    <w:rsid w:val="00D14208"/>
    <w:rsid w:val="00D1757C"/>
    <w:rsid w:val="00D17C5D"/>
    <w:rsid w:val="00D234B6"/>
    <w:rsid w:val="00D254F0"/>
    <w:rsid w:val="00D27B9B"/>
    <w:rsid w:val="00D3018F"/>
    <w:rsid w:val="00D3150C"/>
    <w:rsid w:val="00D32544"/>
    <w:rsid w:val="00D339CC"/>
    <w:rsid w:val="00D34D7A"/>
    <w:rsid w:val="00D351EE"/>
    <w:rsid w:val="00D35411"/>
    <w:rsid w:val="00D3669D"/>
    <w:rsid w:val="00D37294"/>
    <w:rsid w:val="00D378C5"/>
    <w:rsid w:val="00D37DC9"/>
    <w:rsid w:val="00D423EF"/>
    <w:rsid w:val="00D43342"/>
    <w:rsid w:val="00D4394E"/>
    <w:rsid w:val="00D44728"/>
    <w:rsid w:val="00D45237"/>
    <w:rsid w:val="00D455AB"/>
    <w:rsid w:val="00D507DB"/>
    <w:rsid w:val="00D511CD"/>
    <w:rsid w:val="00D52FF5"/>
    <w:rsid w:val="00D550A7"/>
    <w:rsid w:val="00D55E41"/>
    <w:rsid w:val="00D55F5B"/>
    <w:rsid w:val="00D56088"/>
    <w:rsid w:val="00D562FF"/>
    <w:rsid w:val="00D60DC7"/>
    <w:rsid w:val="00D62468"/>
    <w:rsid w:val="00D628F8"/>
    <w:rsid w:val="00D62DF9"/>
    <w:rsid w:val="00D63571"/>
    <w:rsid w:val="00D66910"/>
    <w:rsid w:val="00D6706B"/>
    <w:rsid w:val="00D700D5"/>
    <w:rsid w:val="00D71A33"/>
    <w:rsid w:val="00D73B4D"/>
    <w:rsid w:val="00D75DFC"/>
    <w:rsid w:val="00D761A5"/>
    <w:rsid w:val="00D7657E"/>
    <w:rsid w:val="00D80D5B"/>
    <w:rsid w:val="00D8146A"/>
    <w:rsid w:val="00D83A14"/>
    <w:rsid w:val="00D844B8"/>
    <w:rsid w:val="00D854E6"/>
    <w:rsid w:val="00D8596D"/>
    <w:rsid w:val="00D86C30"/>
    <w:rsid w:val="00D905ED"/>
    <w:rsid w:val="00D91205"/>
    <w:rsid w:val="00D92473"/>
    <w:rsid w:val="00D92C2A"/>
    <w:rsid w:val="00DA1B01"/>
    <w:rsid w:val="00DA4A42"/>
    <w:rsid w:val="00DA5237"/>
    <w:rsid w:val="00DA68FB"/>
    <w:rsid w:val="00DA6BE0"/>
    <w:rsid w:val="00DB3AF6"/>
    <w:rsid w:val="00DB4C18"/>
    <w:rsid w:val="00DB53FB"/>
    <w:rsid w:val="00DC16A9"/>
    <w:rsid w:val="00DC1915"/>
    <w:rsid w:val="00DC4EE2"/>
    <w:rsid w:val="00DC6C60"/>
    <w:rsid w:val="00DD136E"/>
    <w:rsid w:val="00DD22DD"/>
    <w:rsid w:val="00DD2474"/>
    <w:rsid w:val="00DD2AA9"/>
    <w:rsid w:val="00DD43EF"/>
    <w:rsid w:val="00DD4F48"/>
    <w:rsid w:val="00DD6C54"/>
    <w:rsid w:val="00DD6DC0"/>
    <w:rsid w:val="00DD6F87"/>
    <w:rsid w:val="00DD6FB4"/>
    <w:rsid w:val="00DE2F50"/>
    <w:rsid w:val="00DE4269"/>
    <w:rsid w:val="00DE5274"/>
    <w:rsid w:val="00DE621F"/>
    <w:rsid w:val="00DE62C8"/>
    <w:rsid w:val="00DE6B8B"/>
    <w:rsid w:val="00DF0216"/>
    <w:rsid w:val="00DF048C"/>
    <w:rsid w:val="00DF2160"/>
    <w:rsid w:val="00DF325D"/>
    <w:rsid w:val="00DF386E"/>
    <w:rsid w:val="00DF4CBD"/>
    <w:rsid w:val="00DF56C9"/>
    <w:rsid w:val="00DF62F6"/>
    <w:rsid w:val="00DF6AC4"/>
    <w:rsid w:val="00E004F0"/>
    <w:rsid w:val="00E007EC"/>
    <w:rsid w:val="00E01158"/>
    <w:rsid w:val="00E03CED"/>
    <w:rsid w:val="00E0449B"/>
    <w:rsid w:val="00E04E64"/>
    <w:rsid w:val="00E06027"/>
    <w:rsid w:val="00E07E93"/>
    <w:rsid w:val="00E1077F"/>
    <w:rsid w:val="00E119AC"/>
    <w:rsid w:val="00E17516"/>
    <w:rsid w:val="00E21DE3"/>
    <w:rsid w:val="00E22047"/>
    <w:rsid w:val="00E23867"/>
    <w:rsid w:val="00E23A75"/>
    <w:rsid w:val="00E2421E"/>
    <w:rsid w:val="00E25A1C"/>
    <w:rsid w:val="00E26E6E"/>
    <w:rsid w:val="00E30318"/>
    <w:rsid w:val="00E32708"/>
    <w:rsid w:val="00E328A2"/>
    <w:rsid w:val="00E32B77"/>
    <w:rsid w:val="00E33BBD"/>
    <w:rsid w:val="00E37034"/>
    <w:rsid w:val="00E376CE"/>
    <w:rsid w:val="00E37782"/>
    <w:rsid w:val="00E40F44"/>
    <w:rsid w:val="00E44022"/>
    <w:rsid w:val="00E442EC"/>
    <w:rsid w:val="00E449D6"/>
    <w:rsid w:val="00E45112"/>
    <w:rsid w:val="00E45664"/>
    <w:rsid w:val="00E505EF"/>
    <w:rsid w:val="00E514F6"/>
    <w:rsid w:val="00E545B2"/>
    <w:rsid w:val="00E549EA"/>
    <w:rsid w:val="00E57C06"/>
    <w:rsid w:val="00E61979"/>
    <w:rsid w:val="00E636D5"/>
    <w:rsid w:val="00E651B5"/>
    <w:rsid w:val="00E65B2D"/>
    <w:rsid w:val="00E70E56"/>
    <w:rsid w:val="00E72137"/>
    <w:rsid w:val="00E755A9"/>
    <w:rsid w:val="00E75CE5"/>
    <w:rsid w:val="00E768E8"/>
    <w:rsid w:val="00E775B6"/>
    <w:rsid w:val="00E8055E"/>
    <w:rsid w:val="00E81279"/>
    <w:rsid w:val="00E82195"/>
    <w:rsid w:val="00E828CB"/>
    <w:rsid w:val="00E82F7C"/>
    <w:rsid w:val="00E83362"/>
    <w:rsid w:val="00E849B4"/>
    <w:rsid w:val="00E87385"/>
    <w:rsid w:val="00E87962"/>
    <w:rsid w:val="00E90A09"/>
    <w:rsid w:val="00E90D36"/>
    <w:rsid w:val="00E913D9"/>
    <w:rsid w:val="00E91553"/>
    <w:rsid w:val="00E94AAC"/>
    <w:rsid w:val="00E96135"/>
    <w:rsid w:val="00E9721C"/>
    <w:rsid w:val="00EA0D94"/>
    <w:rsid w:val="00EA12F7"/>
    <w:rsid w:val="00EA186A"/>
    <w:rsid w:val="00EA19C2"/>
    <w:rsid w:val="00EA2C6F"/>
    <w:rsid w:val="00EA405B"/>
    <w:rsid w:val="00EA5418"/>
    <w:rsid w:val="00EA5AD0"/>
    <w:rsid w:val="00EA6927"/>
    <w:rsid w:val="00EA6BE9"/>
    <w:rsid w:val="00EB2A4A"/>
    <w:rsid w:val="00EB3D8F"/>
    <w:rsid w:val="00EC084F"/>
    <w:rsid w:val="00EC0BE3"/>
    <w:rsid w:val="00EC1988"/>
    <w:rsid w:val="00EC1EBD"/>
    <w:rsid w:val="00EC2DFD"/>
    <w:rsid w:val="00EC505D"/>
    <w:rsid w:val="00EC56A4"/>
    <w:rsid w:val="00EC5C3D"/>
    <w:rsid w:val="00EC5C97"/>
    <w:rsid w:val="00EC61A6"/>
    <w:rsid w:val="00EC7901"/>
    <w:rsid w:val="00ED0858"/>
    <w:rsid w:val="00ED2125"/>
    <w:rsid w:val="00ED319C"/>
    <w:rsid w:val="00ED518E"/>
    <w:rsid w:val="00ED5680"/>
    <w:rsid w:val="00ED6126"/>
    <w:rsid w:val="00ED6894"/>
    <w:rsid w:val="00ED6B12"/>
    <w:rsid w:val="00ED79E2"/>
    <w:rsid w:val="00EE04FF"/>
    <w:rsid w:val="00EE0F4C"/>
    <w:rsid w:val="00EE1D7E"/>
    <w:rsid w:val="00EE2F63"/>
    <w:rsid w:val="00EE3D4E"/>
    <w:rsid w:val="00EE46FB"/>
    <w:rsid w:val="00EF023B"/>
    <w:rsid w:val="00EF0914"/>
    <w:rsid w:val="00EF2991"/>
    <w:rsid w:val="00EF59BD"/>
    <w:rsid w:val="00EF5CC7"/>
    <w:rsid w:val="00EF62F8"/>
    <w:rsid w:val="00EF7710"/>
    <w:rsid w:val="00F011BD"/>
    <w:rsid w:val="00F016BA"/>
    <w:rsid w:val="00F01B31"/>
    <w:rsid w:val="00F03AE7"/>
    <w:rsid w:val="00F03C78"/>
    <w:rsid w:val="00F057DB"/>
    <w:rsid w:val="00F07D53"/>
    <w:rsid w:val="00F11C4A"/>
    <w:rsid w:val="00F16808"/>
    <w:rsid w:val="00F16A95"/>
    <w:rsid w:val="00F177C0"/>
    <w:rsid w:val="00F17C0D"/>
    <w:rsid w:val="00F20F31"/>
    <w:rsid w:val="00F21F02"/>
    <w:rsid w:val="00F233E1"/>
    <w:rsid w:val="00F253AB"/>
    <w:rsid w:val="00F26095"/>
    <w:rsid w:val="00F2612E"/>
    <w:rsid w:val="00F302C1"/>
    <w:rsid w:val="00F304B3"/>
    <w:rsid w:val="00F30A85"/>
    <w:rsid w:val="00F3142D"/>
    <w:rsid w:val="00F31DD1"/>
    <w:rsid w:val="00F32EC8"/>
    <w:rsid w:val="00F33647"/>
    <w:rsid w:val="00F34C98"/>
    <w:rsid w:val="00F364E9"/>
    <w:rsid w:val="00F36FF1"/>
    <w:rsid w:val="00F378E3"/>
    <w:rsid w:val="00F40A48"/>
    <w:rsid w:val="00F40A84"/>
    <w:rsid w:val="00F424B7"/>
    <w:rsid w:val="00F436CD"/>
    <w:rsid w:val="00F4519D"/>
    <w:rsid w:val="00F45472"/>
    <w:rsid w:val="00F46140"/>
    <w:rsid w:val="00F46965"/>
    <w:rsid w:val="00F50835"/>
    <w:rsid w:val="00F50C0A"/>
    <w:rsid w:val="00F50FC7"/>
    <w:rsid w:val="00F518C4"/>
    <w:rsid w:val="00F52C6D"/>
    <w:rsid w:val="00F53A3B"/>
    <w:rsid w:val="00F54856"/>
    <w:rsid w:val="00F54920"/>
    <w:rsid w:val="00F56F0F"/>
    <w:rsid w:val="00F5748D"/>
    <w:rsid w:val="00F600C9"/>
    <w:rsid w:val="00F619D6"/>
    <w:rsid w:val="00F622F4"/>
    <w:rsid w:val="00F6319C"/>
    <w:rsid w:val="00F6438A"/>
    <w:rsid w:val="00F6724C"/>
    <w:rsid w:val="00F70304"/>
    <w:rsid w:val="00F7273B"/>
    <w:rsid w:val="00F72C8C"/>
    <w:rsid w:val="00F72CE6"/>
    <w:rsid w:val="00F755D0"/>
    <w:rsid w:val="00F77058"/>
    <w:rsid w:val="00F775B3"/>
    <w:rsid w:val="00F8125E"/>
    <w:rsid w:val="00F8171F"/>
    <w:rsid w:val="00F830DA"/>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2B78"/>
    <w:rsid w:val="00FB4723"/>
    <w:rsid w:val="00FB4A59"/>
    <w:rsid w:val="00FB6E0E"/>
    <w:rsid w:val="00FC07F4"/>
    <w:rsid w:val="00FC23D9"/>
    <w:rsid w:val="00FC2997"/>
    <w:rsid w:val="00FC3802"/>
    <w:rsid w:val="00FC4A0F"/>
    <w:rsid w:val="00FC4B1B"/>
    <w:rsid w:val="00FC6EA4"/>
    <w:rsid w:val="00FD04A7"/>
    <w:rsid w:val="00FD16BF"/>
    <w:rsid w:val="00FD45EC"/>
    <w:rsid w:val="00FD5A63"/>
    <w:rsid w:val="00FE00AA"/>
    <w:rsid w:val="00FE027E"/>
    <w:rsid w:val="00FE0968"/>
    <w:rsid w:val="00FE1848"/>
    <w:rsid w:val="00FE3B85"/>
    <w:rsid w:val="00FE3EED"/>
    <w:rsid w:val="00FE4134"/>
    <w:rsid w:val="00FE4810"/>
    <w:rsid w:val="00FE59F7"/>
    <w:rsid w:val="00FE6B37"/>
    <w:rsid w:val="00FE75AC"/>
    <w:rsid w:val="00FE7EF5"/>
    <w:rsid w:val="00FF1FEF"/>
    <w:rsid w:val="00FF227C"/>
    <w:rsid w:val="00FF39BB"/>
    <w:rsid w:val="00FF4355"/>
    <w:rsid w:val="00FF4E18"/>
    <w:rsid w:val="00FF574E"/>
    <w:rsid w:val="00FF5A7D"/>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10"/>
    <o:shapelayout v:ext="edit">
      <o:idmap v:ext="edit" data="2"/>
    </o:shapelayout>
  </w:shapeDefaults>
  <w:decimalSymbol w:val="."/>
  <w:listSeparator w:val=","/>
  <w14:docId w14:val="6C9BE57D"/>
  <w15:docId w15:val="{0E61B535-C358-454C-B2D2-8257291E8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qFormat/>
    <w:rsid w:val="002615F9"/>
    <w:pPr>
      <w:keepNext/>
      <w:spacing w:before="240" w:after="60" w:line="280" w:lineRule="exact"/>
      <w:jc w:val="both"/>
      <w:outlineLvl w:val="0"/>
    </w:pPr>
    <w:rPr>
      <w:rFonts w:ascii="Arial" w:eastAsia="Times New Roman" w:hAnsi="Arial" w:cs="Arial"/>
      <w:b/>
      <w:bCs/>
      <w:kern w:val="32"/>
      <w:sz w:val="32"/>
      <w:szCs w:val="32"/>
      <w:lang w:eastAsia="es-MX"/>
    </w:rPr>
  </w:style>
  <w:style w:type="paragraph" w:styleId="Ttulo2">
    <w:name w:val="heading 2"/>
    <w:basedOn w:val="Normal"/>
    <w:next w:val="Normal"/>
    <w:link w:val="Ttulo2Car"/>
    <w:qFormat/>
    <w:rsid w:val="002615F9"/>
    <w:pPr>
      <w:keepNext/>
      <w:spacing w:after="0" w:line="240" w:lineRule="exact"/>
      <w:jc w:val="center"/>
      <w:outlineLvl w:val="1"/>
    </w:pPr>
    <w:rPr>
      <w:rFonts w:ascii="Arial" w:eastAsia="Times New Roman" w:hAnsi="Arial" w:cs="Arial"/>
      <w:b/>
      <w:bCs/>
      <w:sz w:val="20"/>
      <w:szCs w:val="24"/>
      <w:lang w:val="es-ES" w:eastAsia="es-ES"/>
    </w:rPr>
  </w:style>
  <w:style w:type="paragraph" w:styleId="Ttulo3">
    <w:name w:val="heading 3"/>
    <w:basedOn w:val="Normal"/>
    <w:next w:val="Normal"/>
    <w:link w:val="Ttulo3Car"/>
    <w:qFormat/>
    <w:rsid w:val="002615F9"/>
    <w:pPr>
      <w:keepNext/>
      <w:spacing w:before="240" w:after="60" w:line="280" w:lineRule="exact"/>
      <w:jc w:val="both"/>
      <w:outlineLvl w:val="2"/>
    </w:pPr>
    <w:rPr>
      <w:rFonts w:ascii="Arial" w:eastAsia="Times New Roman" w:hAnsi="Arial" w:cs="Arial"/>
      <w:b/>
      <w:bCs/>
      <w:sz w:val="26"/>
      <w:szCs w:val="26"/>
      <w:lang w:eastAsia="es-MX"/>
    </w:rPr>
  </w:style>
  <w:style w:type="paragraph" w:styleId="Ttulo4">
    <w:name w:val="heading 4"/>
    <w:basedOn w:val="Normal"/>
    <w:next w:val="Normal"/>
    <w:link w:val="Ttulo4Car"/>
    <w:qFormat/>
    <w:rsid w:val="002615F9"/>
    <w:pPr>
      <w:keepNext/>
      <w:spacing w:after="0" w:line="240" w:lineRule="exact"/>
      <w:outlineLvl w:val="3"/>
    </w:pPr>
    <w:rPr>
      <w:rFonts w:ascii="Arial" w:eastAsia="Times New Roman" w:hAnsi="Arial" w:cs="Arial"/>
      <w:b/>
      <w:bCs/>
      <w:sz w:val="20"/>
      <w:szCs w:val="24"/>
      <w:lang w:val="es-ES_tradnl" w:eastAsia="es-ES"/>
    </w:rPr>
  </w:style>
  <w:style w:type="paragraph" w:styleId="Ttulo5">
    <w:name w:val="heading 5"/>
    <w:basedOn w:val="Normal"/>
    <w:next w:val="Normal"/>
    <w:link w:val="Ttulo5Car"/>
    <w:qFormat/>
    <w:rsid w:val="002615F9"/>
    <w:pPr>
      <w:keepNext/>
      <w:autoSpaceDE w:val="0"/>
      <w:autoSpaceDN w:val="0"/>
      <w:adjustRightInd w:val="0"/>
      <w:spacing w:after="0" w:line="240" w:lineRule="auto"/>
      <w:jc w:val="center"/>
      <w:outlineLvl w:val="4"/>
    </w:pPr>
    <w:rPr>
      <w:rFonts w:ascii="Arial" w:eastAsia="Times New Roman" w:hAnsi="Arial" w:cs="Arial"/>
      <w:b/>
      <w:bCs/>
      <w:color w:val="000000"/>
      <w:sz w:val="16"/>
      <w:szCs w:val="24"/>
      <w:lang w:val="es-ES_tradnl" w:eastAsia="es-ES"/>
    </w:rPr>
  </w:style>
  <w:style w:type="paragraph" w:styleId="Ttulo6">
    <w:name w:val="heading 6"/>
    <w:basedOn w:val="Normal"/>
    <w:next w:val="Normal"/>
    <w:link w:val="Ttulo6Car"/>
    <w:qFormat/>
    <w:rsid w:val="002615F9"/>
    <w:pPr>
      <w:keepNext/>
      <w:autoSpaceDE w:val="0"/>
      <w:autoSpaceDN w:val="0"/>
      <w:adjustRightInd w:val="0"/>
      <w:spacing w:after="0" w:line="240" w:lineRule="auto"/>
      <w:jc w:val="center"/>
      <w:outlineLvl w:val="5"/>
    </w:pPr>
    <w:rPr>
      <w:rFonts w:ascii="Arial Narrow" w:eastAsia="Times New Roman" w:hAnsi="Arial Narrow" w:cs="Arial"/>
      <w:b/>
      <w:bCs/>
      <w:color w:val="000000"/>
      <w:sz w:val="16"/>
      <w:szCs w:val="24"/>
      <w:lang w:val="es-ES" w:eastAsia="es-ES"/>
    </w:rPr>
  </w:style>
  <w:style w:type="paragraph" w:styleId="Ttulo7">
    <w:name w:val="heading 7"/>
    <w:basedOn w:val="Normal"/>
    <w:next w:val="Normal"/>
    <w:link w:val="Ttulo7Car"/>
    <w:qFormat/>
    <w:rsid w:val="002615F9"/>
    <w:pPr>
      <w:keepNext/>
      <w:spacing w:after="0" w:line="240" w:lineRule="auto"/>
      <w:ind w:left="1418"/>
      <w:jc w:val="both"/>
      <w:outlineLvl w:val="6"/>
    </w:pPr>
    <w:rPr>
      <w:rFonts w:ascii="Arial Narrow" w:eastAsia="Times New Roman" w:hAnsi="Arial Narrow" w:cs="Arial"/>
      <w:b/>
      <w:bCs/>
      <w:sz w:val="16"/>
      <w:szCs w:val="24"/>
      <w:lang w:val="es-ES" w:eastAsia="es-ES"/>
    </w:rPr>
  </w:style>
  <w:style w:type="paragraph" w:styleId="Ttulo8">
    <w:name w:val="heading 8"/>
    <w:basedOn w:val="Normal"/>
    <w:next w:val="Normal"/>
    <w:link w:val="Ttulo8Car"/>
    <w:qFormat/>
    <w:rsid w:val="002615F9"/>
    <w:pPr>
      <w:keepNext/>
      <w:spacing w:before="60" w:after="60" w:line="240" w:lineRule="auto"/>
      <w:ind w:left="312" w:hanging="255"/>
      <w:jc w:val="center"/>
      <w:outlineLvl w:val="7"/>
    </w:pPr>
    <w:rPr>
      <w:rFonts w:ascii="Arial" w:eastAsia="Times New Roman" w:hAnsi="Arial" w:cs="Arial"/>
      <w:b/>
      <w:bCs/>
      <w:sz w:val="16"/>
      <w:szCs w:val="24"/>
      <w:lang w:val="es-ES" w:eastAsia="es-ES"/>
    </w:rPr>
  </w:style>
  <w:style w:type="paragraph" w:styleId="Ttulo9">
    <w:name w:val="heading 9"/>
    <w:basedOn w:val="Normal"/>
    <w:next w:val="Normal"/>
    <w:link w:val="Ttulo9Car"/>
    <w:qFormat/>
    <w:rsid w:val="002615F9"/>
    <w:pPr>
      <w:keepNext/>
      <w:framePr w:hSpace="340" w:vSpace="113" w:wrap="around" w:vAnchor="text" w:hAnchor="margin" w:xAlign="right" w:y="71"/>
      <w:autoSpaceDE w:val="0"/>
      <w:autoSpaceDN w:val="0"/>
      <w:adjustRightInd w:val="0"/>
      <w:spacing w:before="60" w:after="0" w:line="240" w:lineRule="auto"/>
      <w:suppressOverlap/>
      <w:jc w:val="center"/>
      <w:outlineLvl w:val="8"/>
    </w:pPr>
    <w:rPr>
      <w:rFonts w:ascii="Arial Narrow" w:eastAsia="Times New Roman" w:hAnsi="Arial Narrow" w:cs="Times New Roman"/>
      <w:b/>
      <w:bCs/>
      <w:color w:val="000000"/>
      <w:sz w:val="16"/>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nota,pie,Letrero,margen,Pie,de,página,margen Car Car"/>
    <w:basedOn w:val="Normal"/>
    <w:link w:val="TextonotapieCar"/>
    <w:uiPriority w:val="99"/>
    <w:unhideWhenUsed/>
    <w:rsid w:val="00EA5418"/>
    <w:pPr>
      <w:spacing w:after="0" w:line="240" w:lineRule="auto"/>
    </w:pPr>
    <w:rPr>
      <w:sz w:val="20"/>
      <w:szCs w:val="20"/>
    </w:rPr>
  </w:style>
  <w:style w:type="character" w:customStyle="1" w:styleId="TextonotapieCar">
    <w:name w:val="Texto nota pie Car"/>
    <w:aliases w:val="nota Car,pie Car,Letrero Car,margen Car,Pie Car,de Car,página Car,margen Car Car Car"/>
    <w:basedOn w:val="Fuentedeprrafopredeter"/>
    <w:link w:val="Textonotapie"/>
    <w:uiPriority w:val="99"/>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aliases w:val="independiente"/>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6E77DD"/>
    <w:rPr>
      <w:rFonts w:ascii="Tahoma" w:hAnsi="Tahoma" w:cs="Tahoma"/>
      <w:sz w:val="16"/>
      <w:szCs w:val="16"/>
    </w:rPr>
  </w:style>
  <w:style w:type="paragraph" w:styleId="Prrafodelista">
    <w:name w:val="List Paragraph"/>
    <w:basedOn w:val="Normal"/>
    <w:uiPriority w:val="99"/>
    <w:qFormat/>
    <w:rsid w:val="0079582C"/>
    <w:pPr>
      <w:ind w:left="720"/>
      <w:contextualSpacing/>
    </w:pPr>
  </w:style>
  <w:style w:type="table" w:styleId="Tablaconcuadrcula">
    <w:name w:val="Table Grid"/>
    <w:basedOn w:val="Tablanormal"/>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rsid w:val="002615F9"/>
    <w:rPr>
      <w:rFonts w:ascii="Arial" w:eastAsia="Times New Roman" w:hAnsi="Arial" w:cs="Arial"/>
      <w:b/>
      <w:bCs/>
      <w:kern w:val="32"/>
      <w:sz w:val="32"/>
      <w:szCs w:val="32"/>
      <w:lang w:eastAsia="es-MX"/>
    </w:rPr>
  </w:style>
  <w:style w:type="character" w:customStyle="1" w:styleId="Ttulo2Car">
    <w:name w:val="Título 2 Car"/>
    <w:basedOn w:val="Fuentedeprrafopredeter"/>
    <w:link w:val="Ttulo2"/>
    <w:rsid w:val="002615F9"/>
    <w:rPr>
      <w:rFonts w:ascii="Arial" w:eastAsia="Times New Roman" w:hAnsi="Arial" w:cs="Arial"/>
      <w:b/>
      <w:bCs/>
      <w:sz w:val="20"/>
      <w:szCs w:val="24"/>
      <w:lang w:val="es-ES" w:eastAsia="es-ES"/>
    </w:rPr>
  </w:style>
  <w:style w:type="character" w:customStyle="1" w:styleId="Ttulo3Car">
    <w:name w:val="Título 3 Car"/>
    <w:basedOn w:val="Fuentedeprrafopredeter"/>
    <w:link w:val="Ttulo3"/>
    <w:rsid w:val="002615F9"/>
    <w:rPr>
      <w:rFonts w:ascii="Arial" w:eastAsia="Times New Roman" w:hAnsi="Arial" w:cs="Arial"/>
      <w:b/>
      <w:bCs/>
      <w:sz w:val="26"/>
      <w:szCs w:val="26"/>
      <w:lang w:eastAsia="es-MX"/>
    </w:rPr>
  </w:style>
  <w:style w:type="character" w:customStyle="1" w:styleId="Ttulo4Car">
    <w:name w:val="Título 4 Car"/>
    <w:basedOn w:val="Fuentedeprrafopredeter"/>
    <w:link w:val="Ttulo4"/>
    <w:rsid w:val="002615F9"/>
    <w:rPr>
      <w:rFonts w:ascii="Arial" w:eastAsia="Times New Roman" w:hAnsi="Arial" w:cs="Arial"/>
      <w:b/>
      <w:bCs/>
      <w:sz w:val="20"/>
      <w:szCs w:val="24"/>
      <w:lang w:val="es-ES_tradnl" w:eastAsia="es-ES"/>
    </w:rPr>
  </w:style>
  <w:style w:type="character" w:customStyle="1" w:styleId="Ttulo5Car">
    <w:name w:val="Título 5 Car"/>
    <w:basedOn w:val="Fuentedeprrafopredeter"/>
    <w:link w:val="Ttulo5"/>
    <w:rsid w:val="002615F9"/>
    <w:rPr>
      <w:rFonts w:ascii="Arial" w:eastAsia="Times New Roman" w:hAnsi="Arial" w:cs="Arial"/>
      <w:b/>
      <w:bCs/>
      <w:color w:val="000000"/>
      <w:sz w:val="16"/>
      <w:szCs w:val="24"/>
      <w:lang w:val="es-ES_tradnl" w:eastAsia="es-ES"/>
    </w:rPr>
  </w:style>
  <w:style w:type="character" w:customStyle="1" w:styleId="Ttulo6Car">
    <w:name w:val="Título 6 Car"/>
    <w:basedOn w:val="Fuentedeprrafopredeter"/>
    <w:link w:val="Ttulo6"/>
    <w:rsid w:val="002615F9"/>
    <w:rPr>
      <w:rFonts w:ascii="Arial Narrow" w:eastAsia="Times New Roman" w:hAnsi="Arial Narrow" w:cs="Arial"/>
      <w:b/>
      <w:bCs/>
      <w:color w:val="000000"/>
      <w:sz w:val="16"/>
      <w:szCs w:val="24"/>
      <w:lang w:val="es-ES" w:eastAsia="es-ES"/>
    </w:rPr>
  </w:style>
  <w:style w:type="character" w:customStyle="1" w:styleId="Ttulo7Car">
    <w:name w:val="Título 7 Car"/>
    <w:basedOn w:val="Fuentedeprrafopredeter"/>
    <w:link w:val="Ttulo7"/>
    <w:rsid w:val="002615F9"/>
    <w:rPr>
      <w:rFonts w:ascii="Arial Narrow" w:eastAsia="Times New Roman" w:hAnsi="Arial Narrow" w:cs="Arial"/>
      <w:b/>
      <w:bCs/>
      <w:sz w:val="16"/>
      <w:szCs w:val="24"/>
      <w:lang w:val="es-ES" w:eastAsia="es-ES"/>
    </w:rPr>
  </w:style>
  <w:style w:type="character" w:customStyle="1" w:styleId="Ttulo8Car">
    <w:name w:val="Título 8 Car"/>
    <w:basedOn w:val="Fuentedeprrafopredeter"/>
    <w:link w:val="Ttulo8"/>
    <w:rsid w:val="002615F9"/>
    <w:rPr>
      <w:rFonts w:ascii="Arial" w:eastAsia="Times New Roman" w:hAnsi="Arial" w:cs="Arial"/>
      <w:b/>
      <w:bCs/>
      <w:sz w:val="16"/>
      <w:szCs w:val="24"/>
      <w:lang w:val="es-ES" w:eastAsia="es-ES"/>
    </w:rPr>
  </w:style>
  <w:style w:type="character" w:customStyle="1" w:styleId="Ttulo9Car">
    <w:name w:val="Título 9 Car"/>
    <w:basedOn w:val="Fuentedeprrafopredeter"/>
    <w:link w:val="Ttulo9"/>
    <w:rsid w:val="002615F9"/>
    <w:rPr>
      <w:rFonts w:ascii="Arial Narrow" w:eastAsia="Times New Roman" w:hAnsi="Arial Narrow" w:cs="Times New Roman"/>
      <w:b/>
      <w:bCs/>
      <w:color w:val="000000"/>
      <w:sz w:val="16"/>
      <w:szCs w:val="24"/>
      <w:lang w:val="es-ES" w:eastAsia="es-ES"/>
    </w:rPr>
  </w:style>
  <w:style w:type="paragraph" w:customStyle="1" w:styleId="CharCar">
    <w:name w:val="Char Car"/>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Nmerodepgina">
    <w:name w:val="page number"/>
    <w:basedOn w:val="Fuentedeprrafopredeter"/>
    <w:rsid w:val="002615F9"/>
  </w:style>
  <w:style w:type="paragraph" w:customStyle="1" w:styleId="PRIMERPARRAFO">
    <w:name w:val="PRIMER PARRAFO"/>
    <w:rsid w:val="002615F9"/>
    <w:pPr>
      <w:spacing w:after="240" w:line="240" w:lineRule="exact"/>
      <w:jc w:val="both"/>
    </w:pPr>
    <w:rPr>
      <w:rFonts w:ascii="Times New Roman" w:eastAsia="Times New Roman" w:hAnsi="Times New Roman" w:cs="Times New Roman"/>
      <w:sz w:val="20"/>
      <w:szCs w:val="20"/>
      <w:lang w:val="es-ES_tradnl" w:eastAsia="es-ES"/>
    </w:rPr>
  </w:style>
  <w:style w:type="paragraph" w:customStyle="1" w:styleId="Cabeza">
    <w:name w:val="Cabeza"/>
    <w:rsid w:val="002615F9"/>
    <w:pPr>
      <w:spacing w:after="0" w:line="240" w:lineRule="auto"/>
    </w:pPr>
    <w:rPr>
      <w:rFonts w:ascii="Arial" w:eastAsia="Times New Roman" w:hAnsi="Arial" w:cs="Times New Roman"/>
      <w:color w:val="000000"/>
      <w:sz w:val="20"/>
      <w:szCs w:val="20"/>
      <w:lang w:eastAsia="es-ES"/>
    </w:rPr>
  </w:style>
  <w:style w:type="paragraph" w:customStyle="1" w:styleId="VIETACar">
    <w:name w:val="_VIÑETA Car"/>
    <w:aliases w:val="NEGRA Car"/>
    <w:basedOn w:val="Normal"/>
    <w:rsid w:val="002615F9"/>
    <w:pPr>
      <w:tabs>
        <w:tab w:val="num" w:pos="340"/>
      </w:tabs>
      <w:spacing w:before="110" w:after="110" w:line="260" w:lineRule="exact"/>
      <w:ind w:left="340" w:hanging="340"/>
      <w:jc w:val="both"/>
    </w:pPr>
    <w:rPr>
      <w:rFonts w:ascii="Arial Narrow" w:eastAsia="Times New Roman" w:hAnsi="Arial Narrow" w:cs="Times New Roman"/>
      <w:sz w:val="21"/>
      <w:szCs w:val="24"/>
      <w:lang w:val="es-ES" w:eastAsia="es-ES"/>
    </w:rPr>
  </w:style>
  <w:style w:type="paragraph" w:styleId="Textoindependiente">
    <w:name w:val="Body Text"/>
    <w:aliases w:val="Letrero margen"/>
    <w:basedOn w:val="Normal"/>
    <w:link w:val="TextoindependienteCar"/>
    <w:rsid w:val="002615F9"/>
    <w:pPr>
      <w:autoSpaceDE w:val="0"/>
      <w:autoSpaceDN w:val="0"/>
      <w:adjustRightInd w:val="0"/>
      <w:spacing w:after="0" w:line="240" w:lineRule="auto"/>
      <w:jc w:val="center"/>
    </w:pPr>
    <w:rPr>
      <w:rFonts w:ascii="Arial" w:eastAsia="Times New Roman" w:hAnsi="Arial" w:cs="Arial"/>
      <w:color w:val="000000"/>
      <w:sz w:val="14"/>
      <w:szCs w:val="14"/>
      <w:lang w:val="es-ES_tradnl" w:eastAsia="es-ES"/>
    </w:rPr>
  </w:style>
  <w:style w:type="character" w:customStyle="1" w:styleId="TextoindependienteCar">
    <w:name w:val="Texto independiente Car"/>
    <w:aliases w:val="Letrero margen Car"/>
    <w:basedOn w:val="Fuentedeprrafopredeter"/>
    <w:link w:val="Textoindependiente"/>
    <w:rsid w:val="002615F9"/>
    <w:rPr>
      <w:rFonts w:ascii="Arial" w:eastAsia="Times New Roman" w:hAnsi="Arial" w:cs="Arial"/>
      <w:color w:val="000000"/>
      <w:sz w:val="14"/>
      <w:szCs w:val="14"/>
      <w:lang w:val="es-ES_tradnl" w:eastAsia="es-ES"/>
    </w:rPr>
  </w:style>
  <w:style w:type="paragraph" w:customStyle="1" w:styleId="xl23">
    <w:name w:val="xl23"/>
    <w:basedOn w:val="Normal"/>
    <w:rsid w:val="002615F9"/>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customStyle="1" w:styleId="xl22">
    <w:name w:val="xl22"/>
    <w:basedOn w:val="Normal"/>
    <w:rsid w:val="002615F9"/>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Estilo1">
    <w:name w:val="Estilo1"/>
    <w:basedOn w:val="Normal"/>
    <w:autoRedefine/>
    <w:rsid w:val="002615F9"/>
    <w:pPr>
      <w:spacing w:before="60" w:after="0" w:line="240" w:lineRule="auto"/>
      <w:jc w:val="both"/>
    </w:pPr>
    <w:rPr>
      <w:rFonts w:ascii="Arial Narrow" w:eastAsia="Times New Roman" w:hAnsi="Arial Narrow" w:cs="Arial"/>
      <w:sz w:val="16"/>
      <w:szCs w:val="24"/>
      <w:lang w:val="es-ES_tradnl" w:eastAsia="es-ES"/>
    </w:rPr>
  </w:style>
  <w:style w:type="character" w:customStyle="1" w:styleId="Negritas">
    <w:name w:val="Negritas"/>
    <w:aliases w:val="Parrafo"/>
    <w:rsid w:val="002615F9"/>
    <w:rPr>
      <w:b/>
      <w:sz w:val="20"/>
    </w:rPr>
  </w:style>
  <w:style w:type="paragraph" w:styleId="Textoindependiente3">
    <w:name w:val="Body Text 3"/>
    <w:basedOn w:val="Normal"/>
    <w:link w:val="Textoindependiente3Car"/>
    <w:rsid w:val="002615F9"/>
    <w:pPr>
      <w:autoSpaceDE w:val="0"/>
      <w:autoSpaceDN w:val="0"/>
      <w:adjustRightInd w:val="0"/>
      <w:spacing w:after="60" w:line="240" w:lineRule="auto"/>
      <w:jc w:val="both"/>
    </w:pPr>
    <w:rPr>
      <w:rFonts w:ascii="Arial" w:eastAsia="Times New Roman" w:hAnsi="Arial" w:cs="Arial"/>
      <w:b/>
      <w:bCs/>
      <w:color w:val="000000"/>
      <w:sz w:val="18"/>
      <w:szCs w:val="14"/>
      <w:lang w:val="es-ES_tradnl" w:eastAsia="es-ES"/>
    </w:rPr>
  </w:style>
  <w:style w:type="character" w:customStyle="1" w:styleId="Textoindependiente3Car">
    <w:name w:val="Texto independiente 3 Car"/>
    <w:basedOn w:val="Fuentedeprrafopredeter"/>
    <w:link w:val="Textoindependiente3"/>
    <w:rsid w:val="002615F9"/>
    <w:rPr>
      <w:rFonts w:ascii="Arial" w:eastAsia="Times New Roman" w:hAnsi="Arial" w:cs="Arial"/>
      <w:b/>
      <w:bCs/>
      <w:color w:val="000000"/>
      <w:sz w:val="18"/>
      <w:szCs w:val="14"/>
      <w:lang w:val="es-ES_tradnl" w:eastAsia="es-ES"/>
    </w:rPr>
  </w:style>
  <w:style w:type="paragraph" w:styleId="Textoindependiente2">
    <w:name w:val="Body Text 2"/>
    <w:basedOn w:val="Normal"/>
    <w:link w:val="Textoindependiente2Car"/>
    <w:rsid w:val="002615F9"/>
    <w:pPr>
      <w:autoSpaceDE w:val="0"/>
      <w:autoSpaceDN w:val="0"/>
      <w:adjustRightInd w:val="0"/>
      <w:spacing w:after="60" w:line="240" w:lineRule="auto"/>
      <w:jc w:val="both"/>
    </w:pPr>
    <w:rPr>
      <w:rFonts w:ascii="Arial" w:eastAsia="Times New Roman" w:hAnsi="Arial" w:cs="Arial"/>
      <w:color w:val="000000"/>
      <w:sz w:val="16"/>
      <w:szCs w:val="14"/>
      <w:lang w:val="es-ES_tradnl" w:eastAsia="es-ES"/>
    </w:rPr>
  </w:style>
  <w:style w:type="character" w:customStyle="1" w:styleId="Textoindependiente2Car">
    <w:name w:val="Texto independiente 2 Car"/>
    <w:basedOn w:val="Fuentedeprrafopredeter"/>
    <w:link w:val="Textoindependiente2"/>
    <w:rsid w:val="002615F9"/>
    <w:rPr>
      <w:rFonts w:ascii="Arial" w:eastAsia="Times New Roman" w:hAnsi="Arial" w:cs="Arial"/>
      <w:color w:val="000000"/>
      <w:sz w:val="16"/>
      <w:szCs w:val="14"/>
      <w:lang w:val="es-ES_tradnl" w:eastAsia="es-ES"/>
    </w:rPr>
  </w:style>
  <w:style w:type="paragraph" w:styleId="Ttulo">
    <w:name w:val="Title"/>
    <w:basedOn w:val="Normal"/>
    <w:link w:val="TtuloCar"/>
    <w:qFormat/>
    <w:rsid w:val="002615F9"/>
    <w:pPr>
      <w:spacing w:after="0" w:line="240" w:lineRule="exact"/>
      <w:jc w:val="center"/>
    </w:pPr>
    <w:rPr>
      <w:rFonts w:ascii="Arial" w:eastAsia="Times New Roman" w:hAnsi="Arial" w:cs="Arial"/>
      <w:b/>
      <w:bCs/>
      <w:sz w:val="20"/>
      <w:szCs w:val="24"/>
      <w:lang w:val="es-ES" w:eastAsia="es-ES"/>
    </w:rPr>
  </w:style>
  <w:style w:type="character" w:customStyle="1" w:styleId="TtuloCar">
    <w:name w:val="Título Car"/>
    <w:basedOn w:val="Fuentedeprrafopredeter"/>
    <w:link w:val="Ttulo"/>
    <w:rsid w:val="002615F9"/>
    <w:rPr>
      <w:rFonts w:ascii="Arial" w:eastAsia="Times New Roman" w:hAnsi="Arial" w:cs="Arial"/>
      <w:b/>
      <w:bCs/>
      <w:sz w:val="20"/>
      <w:szCs w:val="24"/>
      <w:lang w:val="es-ES" w:eastAsia="es-ES"/>
    </w:rPr>
  </w:style>
  <w:style w:type="paragraph" w:styleId="Textocomentario">
    <w:name w:val="annotation text"/>
    <w:basedOn w:val="Normal"/>
    <w:link w:val="TextocomentarioCar"/>
    <w:semiHidden/>
    <w:rsid w:val="002615F9"/>
    <w:pPr>
      <w:spacing w:after="0" w:line="240" w:lineRule="auto"/>
      <w:jc w:val="both"/>
    </w:pPr>
    <w:rPr>
      <w:rFonts w:ascii="Arial" w:eastAsia="Times New Roman" w:hAnsi="Arial" w:cs="Times New Roman"/>
      <w:sz w:val="20"/>
      <w:szCs w:val="20"/>
      <w:lang w:val="es-ES_tradnl" w:eastAsia="x-none"/>
    </w:rPr>
  </w:style>
  <w:style w:type="character" w:customStyle="1" w:styleId="TextocomentarioCar">
    <w:name w:val="Texto comentario Car"/>
    <w:basedOn w:val="Fuentedeprrafopredeter"/>
    <w:link w:val="Textocomentario"/>
    <w:semiHidden/>
    <w:rsid w:val="002615F9"/>
    <w:rPr>
      <w:rFonts w:ascii="Arial" w:eastAsia="Times New Roman" w:hAnsi="Arial" w:cs="Times New Roman"/>
      <w:sz w:val="20"/>
      <w:szCs w:val="20"/>
      <w:lang w:val="es-ES_tradnl" w:eastAsia="x-none"/>
    </w:rPr>
  </w:style>
  <w:style w:type="paragraph" w:customStyle="1" w:styleId="xl24">
    <w:name w:val="xl24"/>
    <w:basedOn w:val="Normal"/>
    <w:rsid w:val="002615F9"/>
    <w:pPr>
      <w:spacing w:before="100" w:beforeAutospacing="1" w:after="100" w:afterAutospacing="1" w:line="240" w:lineRule="auto"/>
    </w:pPr>
    <w:rPr>
      <w:rFonts w:ascii="Univers" w:eastAsia="Arial Unicode MS" w:hAnsi="Univers" w:cs="Arial Unicode MS"/>
      <w:sz w:val="14"/>
      <w:szCs w:val="14"/>
      <w:lang w:val="es-ES" w:eastAsia="es-ES"/>
    </w:rPr>
  </w:style>
  <w:style w:type="paragraph" w:customStyle="1" w:styleId="xl25">
    <w:name w:val="xl25"/>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6">
    <w:name w:val="xl26"/>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7">
    <w:name w:val="xl27"/>
    <w:basedOn w:val="Normal"/>
    <w:rsid w:val="002615F9"/>
    <w:pPr>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28">
    <w:name w:val="xl28"/>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9">
    <w:name w:val="xl29"/>
    <w:basedOn w:val="Normal"/>
    <w:rsid w:val="002615F9"/>
    <w:pPr>
      <w:pBdr>
        <w:top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0">
    <w:name w:val="xl30"/>
    <w:basedOn w:val="Normal"/>
    <w:rsid w:val="002615F9"/>
    <w:pPr>
      <w:pBdr>
        <w:top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1">
    <w:name w:val="xl31"/>
    <w:basedOn w:val="Normal"/>
    <w:rsid w:val="002615F9"/>
    <w:pPr>
      <w:pBdr>
        <w:top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32">
    <w:name w:val="xl32"/>
    <w:basedOn w:val="Normal"/>
    <w:rsid w:val="002615F9"/>
    <w:pP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3">
    <w:name w:val="xl33"/>
    <w:basedOn w:val="Normal"/>
    <w:rsid w:val="002615F9"/>
    <w:pP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4">
    <w:name w:val="xl34"/>
    <w:basedOn w:val="Normal"/>
    <w:rsid w:val="002615F9"/>
    <w:pPr>
      <w:pBdr>
        <w:bottom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5">
    <w:name w:val="xl35"/>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6">
    <w:name w:val="xl36"/>
    <w:basedOn w:val="Normal"/>
    <w:rsid w:val="002615F9"/>
    <w:pPr>
      <w:pBdr>
        <w:top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7">
    <w:name w:val="xl3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8">
    <w:name w:val="xl38"/>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9">
    <w:name w:val="xl3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0">
    <w:name w:val="xl40"/>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1">
    <w:name w:val="xl41"/>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2">
    <w:name w:val="xl42"/>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3">
    <w:name w:val="xl43"/>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4">
    <w:name w:val="xl44"/>
    <w:basedOn w:val="Normal"/>
    <w:rsid w:val="002615F9"/>
    <w:pPr>
      <w:pBdr>
        <w:top w:val="single" w:sz="4" w:space="0" w:color="auto"/>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45">
    <w:name w:val="xl45"/>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6">
    <w:name w:val="xl46"/>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7">
    <w:name w:val="xl4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8">
    <w:name w:val="xl48"/>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9">
    <w:name w:val="xl4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0">
    <w:name w:val="xl50"/>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1">
    <w:name w:val="xl51"/>
    <w:basedOn w:val="Normal"/>
    <w:rsid w:val="002615F9"/>
    <w:pP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52">
    <w:name w:val="xl52"/>
    <w:basedOn w:val="Normal"/>
    <w:rsid w:val="002615F9"/>
    <w:pPr>
      <w:pBdr>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BodyText21">
    <w:name w:val="Body Text 21"/>
    <w:basedOn w:val="Normal"/>
    <w:rsid w:val="002615F9"/>
    <w:pPr>
      <w:spacing w:after="0" w:line="240" w:lineRule="auto"/>
      <w:jc w:val="both"/>
    </w:pPr>
    <w:rPr>
      <w:rFonts w:ascii="Arial" w:eastAsia="Times New Roman" w:hAnsi="Arial" w:cs="Times New Roman"/>
      <w:sz w:val="24"/>
      <w:szCs w:val="20"/>
      <w:lang w:val="es-ES_tradnl" w:eastAsia="es-ES"/>
    </w:rPr>
  </w:style>
  <w:style w:type="paragraph" w:customStyle="1" w:styleId="texto0">
    <w:name w:val="texto"/>
    <w:basedOn w:val="Normal"/>
    <w:rsid w:val="002615F9"/>
    <w:pPr>
      <w:spacing w:after="101" w:line="216" w:lineRule="atLeast"/>
      <w:ind w:firstLine="288"/>
      <w:jc w:val="both"/>
    </w:pPr>
    <w:rPr>
      <w:rFonts w:ascii="Arial" w:eastAsia="Times New Roman" w:hAnsi="Arial" w:cs="Arial"/>
      <w:sz w:val="18"/>
      <w:szCs w:val="20"/>
      <w:lang w:val="es-ES_tradnl" w:eastAsia="es-MX"/>
    </w:rPr>
  </w:style>
  <w:style w:type="paragraph" w:styleId="Sangra3detindependiente">
    <w:name w:val="Body Text Indent 3"/>
    <w:basedOn w:val="Normal"/>
    <w:link w:val="Sangra3detindependienteCar"/>
    <w:rsid w:val="002615F9"/>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2615F9"/>
    <w:rPr>
      <w:rFonts w:ascii="Times New Roman" w:eastAsia="Times New Roman" w:hAnsi="Times New Roman" w:cs="Times New Roman"/>
      <w:sz w:val="16"/>
      <w:szCs w:val="16"/>
      <w:lang w:val="es-ES" w:eastAsia="es-ES"/>
    </w:rPr>
  </w:style>
  <w:style w:type="paragraph" w:customStyle="1" w:styleId="WW-Sangra3detindependiente">
    <w:name w:val="WW-Sangría 3 de t. independiente"/>
    <w:basedOn w:val="Normal"/>
    <w:rsid w:val="002615F9"/>
    <w:pPr>
      <w:suppressAutoHyphens/>
      <w:spacing w:after="0" w:line="240" w:lineRule="auto"/>
      <w:ind w:left="540" w:firstLine="1"/>
      <w:jc w:val="both"/>
    </w:pPr>
    <w:rPr>
      <w:rFonts w:ascii="Arial" w:eastAsia="Times New Roman" w:hAnsi="Arial" w:cs="Times New Roman"/>
      <w:color w:val="000000"/>
      <w:sz w:val="24"/>
      <w:szCs w:val="20"/>
      <w:lang w:val="es-ES" w:eastAsia="es-MX"/>
    </w:rPr>
  </w:style>
  <w:style w:type="paragraph" w:styleId="Textonotaalfinal">
    <w:name w:val="endnote text"/>
    <w:basedOn w:val="Normal"/>
    <w:link w:val="TextonotaalfinalCar"/>
    <w:rsid w:val="002615F9"/>
    <w:pPr>
      <w:spacing w:after="0" w:line="240" w:lineRule="auto"/>
      <w:jc w:val="both"/>
    </w:pPr>
    <w:rPr>
      <w:rFonts w:ascii="Arial" w:eastAsia="Times New Roman" w:hAnsi="Arial" w:cs="Times New Roman"/>
      <w:sz w:val="20"/>
      <w:szCs w:val="20"/>
      <w:lang w:val="x-none" w:eastAsia="es-ES"/>
    </w:rPr>
  </w:style>
  <w:style w:type="character" w:customStyle="1" w:styleId="TextonotaalfinalCar">
    <w:name w:val="Texto nota al final Car"/>
    <w:basedOn w:val="Fuentedeprrafopredeter"/>
    <w:link w:val="Textonotaalfinal"/>
    <w:rsid w:val="002615F9"/>
    <w:rPr>
      <w:rFonts w:ascii="Arial" w:eastAsia="Times New Roman" w:hAnsi="Arial" w:cs="Times New Roman"/>
      <w:sz w:val="20"/>
      <w:szCs w:val="20"/>
      <w:lang w:val="x-none" w:eastAsia="es-ES"/>
    </w:rPr>
  </w:style>
  <w:style w:type="character" w:styleId="Refdenotaalfinal">
    <w:name w:val="endnote reference"/>
    <w:rsid w:val="002615F9"/>
    <w:rPr>
      <w:vertAlign w:val="superscript"/>
    </w:rPr>
  </w:style>
  <w:style w:type="paragraph" w:customStyle="1" w:styleId="CharCar2">
    <w:name w:val="Char Car2"/>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Refdecomentario">
    <w:name w:val="annotation reference"/>
    <w:rsid w:val="002615F9"/>
    <w:rPr>
      <w:sz w:val="16"/>
      <w:szCs w:val="16"/>
    </w:rPr>
  </w:style>
  <w:style w:type="paragraph" w:styleId="Asuntodelcomentario">
    <w:name w:val="annotation subject"/>
    <w:basedOn w:val="Textocomentario"/>
    <w:next w:val="Textocomentario"/>
    <w:link w:val="AsuntodelcomentarioCar"/>
    <w:rsid w:val="002615F9"/>
    <w:pPr>
      <w:spacing w:after="240"/>
    </w:pPr>
    <w:rPr>
      <w:b/>
      <w:bCs/>
      <w:lang w:val="es-MX"/>
    </w:rPr>
  </w:style>
  <w:style w:type="character" w:customStyle="1" w:styleId="AsuntodelcomentarioCar">
    <w:name w:val="Asunto del comentario Car"/>
    <w:basedOn w:val="TextocomentarioCar"/>
    <w:link w:val="Asuntodelcomentario"/>
    <w:rsid w:val="002615F9"/>
    <w:rPr>
      <w:rFonts w:ascii="Arial" w:eastAsia="Times New Roman" w:hAnsi="Arial" w:cs="Times New Roman"/>
      <w:b/>
      <w:bCs/>
      <w:sz w:val="20"/>
      <w:szCs w:val="20"/>
      <w:lang w:val="es-ES_tradnl" w:eastAsia="x-none"/>
    </w:rPr>
  </w:style>
  <w:style w:type="character" w:styleId="nfasis">
    <w:name w:val="Emphasis"/>
    <w:qFormat/>
    <w:rsid w:val="002615F9"/>
    <w:rPr>
      <w:i/>
      <w:iCs/>
    </w:rPr>
  </w:style>
  <w:style w:type="paragraph" w:styleId="Subttulo">
    <w:name w:val="Subtitle"/>
    <w:basedOn w:val="Normal"/>
    <w:next w:val="Normal"/>
    <w:link w:val="SubttuloCar"/>
    <w:qFormat/>
    <w:rsid w:val="002615F9"/>
    <w:pPr>
      <w:spacing w:after="60" w:line="240" w:lineRule="auto"/>
      <w:jc w:val="center"/>
      <w:outlineLvl w:val="1"/>
    </w:pPr>
    <w:rPr>
      <w:rFonts w:ascii="Cambria" w:eastAsia="Times New Roman" w:hAnsi="Cambria" w:cs="Times New Roman"/>
      <w:sz w:val="24"/>
      <w:szCs w:val="24"/>
      <w:lang w:eastAsia="x-none"/>
    </w:rPr>
  </w:style>
  <w:style w:type="character" w:customStyle="1" w:styleId="SubttuloCar">
    <w:name w:val="Subtítulo Car"/>
    <w:basedOn w:val="Fuentedeprrafopredeter"/>
    <w:link w:val="Subttulo"/>
    <w:rsid w:val="002615F9"/>
    <w:rPr>
      <w:rFonts w:ascii="Cambria" w:eastAsia="Times New Roman" w:hAnsi="Cambria" w:cs="Times New Roman"/>
      <w:sz w:val="24"/>
      <w:szCs w:val="24"/>
      <w:lang w:eastAsia="x-none"/>
    </w:rPr>
  </w:style>
  <w:style w:type="paragraph" w:customStyle="1" w:styleId="CharCar1">
    <w:name w:val="Char Car1"/>
    <w:basedOn w:val="Normal"/>
    <w:rsid w:val="002615F9"/>
    <w:pPr>
      <w:autoSpaceDE w:val="0"/>
      <w:autoSpaceDN w:val="0"/>
      <w:spacing w:after="160" w:line="240" w:lineRule="exact"/>
    </w:pPr>
    <w:rPr>
      <w:rFonts w:ascii="Arial" w:eastAsia="Times New Roman" w:hAnsi="Arial" w:cs="Arial"/>
      <w:sz w:val="20"/>
      <w:szCs w:val="20"/>
      <w:lang w:val="en-US"/>
    </w:rPr>
  </w:style>
  <w:style w:type="paragraph" w:styleId="Revisin">
    <w:name w:val="Revision"/>
    <w:hidden/>
    <w:uiPriority w:val="99"/>
    <w:semiHidden/>
    <w:rsid w:val="002615F9"/>
    <w:pPr>
      <w:spacing w:after="0" w:line="240" w:lineRule="auto"/>
    </w:pPr>
    <w:rPr>
      <w:rFonts w:ascii="Arial" w:eastAsia="Times New Roman" w:hAnsi="Arial" w:cs="Times New Roman"/>
      <w:sz w:val="24"/>
      <w:szCs w:val="24"/>
      <w:lang w:eastAsia="es-ES"/>
    </w:rPr>
  </w:style>
  <w:style w:type="character" w:customStyle="1" w:styleId="apple-converted-space">
    <w:name w:val="apple-converted-space"/>
    <w:basedOn w:val="Fuentedeprrafopredeter"/>
    <w:rsid w:val="002615F9"/>
  </w:style>
  <w:style w:type="character" w:styleId="Hipervnculo">
    <w:name w:val="Hyperlink"/>
    <w:uiPriority w:val="99"/>
    <w:unhideWhenUsed/>
    <w:rsid w:val="002615F9"/>
    <w:rPr>
      <w:color w:val="0000FF"/>
      <w:u w:val="single"/>
    </w:rPr>
  </w:style>
  <w:style w:type="paragraph" w:customStyle="1" w:styleId="bullet">
    <w:name w:val="bullet"/>
    <w:basedOn w:val="Normal"/>
    <w:rsid w:val="002615F9"/>
    <w:pPr>
      <w:numPr>
        <w:numId w:val="2"/>
      </w:numPr>
      <w:tabs>
        <w:tab w:val="left" w:pos="7655"/>
      </w:tabs>
      <w:spacing w:before="360" w:after="0" w:line="240" w:lineRule="auto"/>
      <w:ind w:right="758"/>
      <w:jc w:val="both"/>
    </w:pPr>
    <w:rPr>
      <w:rFonts w:ascii="Arial" w:eastAsia="Times New Roman" w:hAnsi="Arial" w:cs="Times New Roman"/>
      <w:b/>
      <w:szCs w:val="20"/>
      <w:lang w:eastAsia="es-ES"/>
    </w:rPr>
  </w:style>
  <w:style w:type="paragraph" w:customStyle="1" w:styleId="p0">
    <w:name w:val="p0"/>
    <w:basedOn w:val="Normal"/>
    <w:rsid w:val="00767B7C"/>
    <w:pPr>
      <w:keepLines/>
      <w:widowControl w:val="0"/>
      <w:spacing w:before="240" w:after="0" w:line="240" w:lineRule="auto"/>
      <w:jc w:val="both"/>
    </w:pPr>
    <w:rPr>
      <w:rFonts w:ascii="Helvetica" w:eastAsia="Times New Roman" w:hAnsi="Helvetica" w:cs="Arial"/>
      <w:snapToGrid w:val="0"/>
      <w:color w:val="0000FF"/>
      <w:sz w:val="24"/>
      <w:szCs w:val="24"/>
      <w:lang w:val="es-ES_tradnl" w:eastAsia="es-ES"/>
    </w:rPr>
  </w:style>
  <w:style w:type="paragraph" w:customStyle="1" w:styleId="p02">
    <w:name w:val="p02"/>
    <w:basedOn w:val="Normal"/>
    <w:next w:val="p0"/>
    <w:rsid w:val="00767B7C"/>
    <w:pPr>
      <w:keepLines/>
      <w:spacing w:before="240" w:after="0" w:line="240" w:lineRule="auto"/>
      <w:ind w:right="11"/>
      <w:jc w:val="both"/>
    </w:pPr>
    <w:rPr>
      <w:rFonts w:ascii="Univers" w:eastAsia="Times New Roman" w:hAnsi="Univers" w:cs="Times New Roman"/>
      <w:color w:val="0000FF"/>
      <w:sz w:val="24"/>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388498637">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18730095">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641232409">
      <w:bodyDiv w:val="1"/>
      <w:marLeft w:val="0"/>
      <w:marRight w:val="0"/>
      <w:marTop w:val="0"/>
      <w:marBottom w:val="0"/>
      <w:divBdr>
        <w:top w:val="none" w:sz="0" w:space="0" w:color="auto"/>
        <w:left w:val="none" w:sz="0" w:space="0" w:color="auto"/>
        <w:bottom w:val="none" w:sz="0" w:space="0" w:color="auto"/>
        <w:right w:val="none" w:sz="0" w:space="0" w:color="auto"/>
      </w:divBdr>
    </w:div>
    <w:div w:id="730931073">
      <w:bodyDiv w:val="1"/>
      <w:marLeft w:val="0"/>
      <w:marRight w:val="0"/>
      <w:marTop w:val="0"/>
      <w:marBottom w:val="0"/>
      <w:divBdr>
        <w:top w:val="none" w:sz="0" w:space="0" w:color="auto"/>
        <w:left w:val="none" w:sz="0" w:space="0" w:color="auto"/>
        <w:bottom w:val="none" w:sz="0" w:space="0" w:color="auto"/>
        <w:right w:val="none" w:sz="0" w:space="0" w:color="auto"/>
      </w:divBdr>
    </w:div>
    <w:div w:id="733358534">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24862124">
      <w:bodyDiv w:val="1"/>
      <w:marLeft w:val="0"/>
      <w:marRight w:val="0"/>
      <w:marTop w:val="0"/>
      <w:marBottom w:val="0"/>
      <w:divBdr>
        <w:top w:val="none" w:sz="0" w:space="0" w:color="auto"/>
        <w:left w:val="none" w:sz="0" w:space="0" w:color="auto"/>
        <w:bottom w:val="none" w:sz="0" w:space="0" w:color="auto"/>
        <w:right w:val="none" w:sz="0" w:space="0" w:color="auto"/>
      </w:divBdr>
    </w:div>
    <w:div w:id="8519946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973028251">
      <w:bodyDiv w:val="1"/>
      <w:marLeft w:val="0"/>
      <w:marRight w:val="0"/>
      <w:marTop w:val="0"/>
      <w:marBottom w:val="0"/>
      <w:divBdr>
        <w:top w:val="none" w:sz="0" w:space="0" w:color="auto"/>
        <w:left w:val="none" w:sz="0" w:space="0" w:color="auto"/>
        <w:bottom w:val="none" w:sz="0" w:space="0" w:color="auto"/>
        <w:right w:val="none" w:sz="0" w:space="0" w:color="auto"/>
      </w:divBdr>
    </w:div>
    <w:div w:id="991061283">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71350324">
      <w:bodyDiv w:val="1"/>
      <w:marLeft w:val="0"/>
      <w:marRight w:val="0"/>
      <w:marTop w:val="0"/>
      <w:marBottom w:val="0"/>
      <w:divBdr>
        <w:top w:val="none" w:sz="0" w:space="0" w:color="auto"/>
        <w:left w:val="none" w:sz="0" w:space="0" w:color="auto"/>
        <w:bottom w:val="none" w:sz="0" w:space="0" w:color="auto"/>
        <w:right w:val="none" w:sz="0" w:space="0" w:color="auto"/>
      </w:divBdr>
    </w:div>
    <w:div w:id="1297104432">
      <w:bodyDiv w:val="1"/>
      <w:marLeft w:val="0"/>
      <w:marRight w:val="0"/>
      <w:marTop w:val="0"/>
      <w:marBottom w:val="0"/>
      <w:divBdr>
        <w:top w:val="none" w:sz="0" w:space="0" w:color="auto"/>
        <w:left w:val="none" w:sz="0" w:space="0" w:color="auto"/>
        <w:bottom w:val="none" w:sz="0" w:space="0" w:color="auto"/>
        <w:right w:val="none" w:sz="0" w:space="0" w:color="auto"/>
      </w:divBdr>
    </w:div>
    <w:div w:id="1310162600">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368752087">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8933970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12607950">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00491868">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4064618">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chart" Target="charts/chart5.xml"/><Relationship Id="rId39" Type="http://schemas.openxmlformats.org/officeDocument/2006/relationships/footer" Target="footer1.xml"/><Relationship Id="rId21" Type="http://schemas.openxmlformats.org/officeDocument/2006/relationships/package" Target="embeddings/Microsoft_Excel_Worksheet6.xlsx"/><Relationship Id="rId34" Type="http://schemas.openxmlformats.org/officeDocument/2006/relationships/package" Target="embeddings/Microsoft_Excel_Worksheet7.xlsx"/><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chart" Target="charts/chart8.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chart" Target="charts/chart3.xml"/><Relationship Id="rId32" Type="http://schemas.openxmlformats.org/officeDocument/2006/relationships/image" Target="media/image10.emf"/><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package" Target="embeddings/Microsoft_Excel_Worksheet8.xlsx"/><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image" Target="media/image8.png"/><Relationship Id="rId35" Type="http://schemas.openxmlformats.org/officeDocument/2006/relationships/image" Target="media/image12.emf"/><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chart" Target="charts/chart4.xml"/><Relationship Id="rId33" Type="http://schemas.openxmlformats.org/officeDocument/2006/relationships/image" Target="media/image11.emf"/><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Notas%20Trabajo%202021\ITAEE\2025\1er%20trim-2025\Gr&#225;ficas_ITAEE.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Notas%20Trabajo%202021\ITAEE\2025\1er%20trim-2025\Gr&#225;ficas_ITAEE.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Notas%20Trabajo%202021\ITAEE\2025\1er%20trim-2025\Bolet&#237;n\Gr&#225;ficas_ITAEE.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Notas%20Trabajo%202021\ITAEE\2025\1er%20trim-2025\Bolet&#237;n\Gr&#225;ficas_ITAEE.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Notas%20Trabajo%202021\ITAEE\2025\1er%20trim-2025\Gr&#225;ficas_ITAEE.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Notas%20Trabajo%202021\ITAEE\2025\1er%20trim-2025\Gr&#225;ficas_ITAEE.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Notas%20Trabajo%202021\ITAEE\2025\1er%20trim-2025\Gr&#225;ficas_ITAEE.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Notas%20Trabajo%202021\ITAEE\2025\1er%20trim-2025\Bolet&#237;n\Gr&#225;ficas_ITAEE.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165295815295813"/>
          <c:y val="2.2825999999999999E-2"/>
          <c:w val="0.55954329004329006"/>
          <c:h val="0.93574444444444449"/>
        </c:manualLayout>
      </c:layout>
      <c:barChart>
        <c:barDir val="bar"/>
        <c:grouping val="clustered"/>
        <c:varyColors val="0"/>
        <c:ser>
          <c:idx val="0"/>
          <c:order val="0"/>
          <c:spPr>
            <a:solidFill>
              <a:srgbClr val="08989C"/>
            </a:solidFill>
            <a:ln>
              <a:noFill/>
            </a:ln>
            <a:effectLst/>
          </c:spPr>
          <c:invertIfNegative val="0"/>
          <c:dPt>
            <c:idx val="10"/>
            <c:invertIfNegative val="0"/>
            <c:bubble3D val="0"/>
            <c:spPr>
              <a:solidFill>
                <a:srgbClr val="C0C0C0"/>
              </a:solidFill>
              <a:ln>
                <a:noFill/>
              </a:ln>
              <a:effectLst/>
              <a:sp3d/>
            </c:spPr>
            <c:extLst>
              <c:ext xmlns:c16="http://schemas.microsoft.com/office/drawing/2014/chart" uri="{C3380CC4-5D6E-409C-BE32-E72D297353CC}">
                <c16:uniqueId val="{00000001-9E2D-4A17-BA2D-580AE6314BB6}"/>
              </c:ext>
            </c:extLst>
          </c:dPt>
          <c:dPt>
            <c:idx val="11"/>
            <c:invertIfNegative val="0"/>
            <c:bubble3D val="0"/>
            <c:spPr>
              <a:solidFill>
                <a:srgbClr val="08989C"/>
              </a:solidFill>
              <a:ln>
                <a:noFill/>
              </a:ln>
              <a:effectLst/>
              <a:sp3d/>
            </c:spPr>
            <c:extLst>
              <c:ext xmlns:c16="http://schemas.microsoft.com/office/drawing/2014/chart" uri="{C3380CC4-5D6E-409C-BE32-E72D297353CC}">
                <c16:uniqueId val="{00000003-9E2D-4A17-BA2D-580AE6314BB6}"/>
              </c:ext>
            </c:extLst>
          </c:dPt>
          <c:dPt>
            <c:idx val="12"/>
            <c:invertIfNegative val="0"/>
            <c:bubble3D val="0"/>
            <c:spPr>
              <a:solidFill>
                <a:srgbClr val="08989C"/>
              </a:solidFill>
              <a:ln>
                <a:noFill/>
              </a:ln>
              <a:effectLst/>
              <a:sp3d/>
            </c:spPr>
            <c:extLst>
              <c:ext xmlns:c16="http://schemas.microsoft.com/office/drawing/2014/chart" uri="{C3380CC4-5D6E-409C-BE32-E72D297353CC}">
                <c16:uniqueId val="{00000005-9E2D-4A17-BA2D-580AE6314BB6}"/>
              </c:ext>
            </c:extLst>
          </c:dPt>
          <c:dPt>
            <c:idx val="13"/>
            <c:invertIfNegative val="0"/>
            <c:bubble3D val="0"/>
            <c:spPr>
              <a:solidFill>
                <a:srgbClr val="08989C"/>
              </a:solidFill>
              <a:ln>
                <a:noFill/>
              </a:ln>
              <a:effectLst/>
              <a:sp3d/>
            </c:spPr>
            <c:extLst>
              <c:ext xmlns:c16="http://schemas.microsoft.com/office/drawing/2014/chart" uri="{C3380CC4-5D6E-409C-BE32-E72D297353CC}">
                <c16:uniqueId val="{00000007-9E2D-4A17-BA2D-580AE6314BB6}"/>
              </c:ext>
            </c:extLst>
          </c:dPt>
          <c:dPt>
            <c:idx val="14"/>
            <c:invertIfNegative val="0"/>
            <c:bubble3D val="0"/>
            <c:spPr>
              <a:solidFill>
                <a:srgbClr val="08989C"/>
              </a:solidFill>
              <a:ln>
                <a:noFill/>
              </a:ln>
              <a:effectLst/>
              <a:sp3d/>
            </c:spPr>
            <c:extLst>
              <c:ext xmlns:c16="http://schemas.microsoft.com/office/drawing/2014/chart" uri="{C3380CC4-5D6E-409C-BE32-E72D297353CC}">
                <c16:uniqueId val="{00000009-9E2D-4A17-BA2D-580AE6314BB6}"/>
              </c:ext>
            </c:extLst>
          </c:dPt>
          <c:dPt>
            <c:idx val="15"/>
            <c:invertIfNegative val="0"/>
            <c:bubble3D val="0"/>
            <c:spPr>
              <a:solidFill>
                <a:srgbClr val="08989C"/>
              </a:solidFill>
              <a:ln>
                <a:noFill/>
              </a:ln>
              <a:effectLst/>
              <a:sp3d/>
            </c:spPr>
            <c:extLst>
              <c:ext xmlns:c16="http://schemas.microsoft.com/office/drawing/2014/chart" uri="{C3380CC4-5D6E-409C-BE32-E72D297353CC}">
                <c16:uniqueId val="{0000000B-9E2D-4A17-BA2D-580AE6314BB6}"/>
              </c:ext>
            </c:extLst>
          </c:dPt>
          <c:dPt>
            <c:idx val="16"/>
            <c:invertIfNegative val="0"/>
            <c:bubble3D val="0"/>
            <c:spPr>
              <a:solidFill>
                <a:srgbClr val="08989C"/>
              </a:solidFill>
              <a:ln>
                <a:noFill/>
              </a:ln>
              <a:effectLst>
                <a:outerShdw blurRad="50800" dist="50800" dir="5400000" algn="ctr" rotWithShape="0">
                  <a:schemeClr val="accent5">
                    <a:lumMod val="20000"/>
                    <a:lumOff val="80000"/>
                  </a:schemeClr>
                </a:outerShdw>
              </a:effectLst>
              <a:sp3d/>
            </c:spPr>
            <c:extLst>
              <c:ext xmlns:c16="http://schemas.microsoft.com/office/drawing/2014/chart" uri="{C3380CC4-5D6E-409C-BE32-E72D297353CC}">
                <c16:uniqueId val="{0000000D-9E2D-4A17-BA2D-580AE6314BB6}"/>
              </c:ext>
            </c:extLst>
          </c:dPt>
          <c:dPt>
            <c:idx val="17"/>
            <c:invertIfNegative val="0"/>
            <c:bubble3D val="0"/>
            <c:spPr>
              <a:solidFill>
                <a:srgbClr val="08989C"/>
              </a:solidFill>
              <a:ln>
                <a:noFill/>
              </a:ln>
              <a:effectLst/>
              <a:sp3d/>
            </c:spPr>
            <c:extLst>
              <c:ext xmlns:c16="http://schemas.microsoft.com/office/drawing/2014/chart" uri="{C3380CC4-5D6E-409C-BE32-E72D297353CC}">
                <c16:uniqueId val="{0000000F-9E2D-4A17-BA2D-580AE6314BB6}"/>
              </c:ext>
            </c:extLst>
          </c:dPt>
          <c:dPt>
            <c:idx val="18"/>
            <c:invertIfNegative val="0"/>
            <c:bubble3D val="0"/>
            <c:spPr>
              <a:solidFill>
                <a:srgbClr val="08989C"/>
              </a:solidFill>
              <a:ln>
                <a:noFill/>
              </a:ln>
              <a:effectLst/>
              <a:sp3d>
                <a:contourClr>
                  <a:schemeClr val="tx2">
                    <a:lumMod val="60000"/>
                    <a:lumOff val="40000"/>
                  </a:schemeClr>
                </a:contourClr>
              </a:sp3d>
            </c:spPr>
            <c:extLst>
              <c:ext xmlns:c16="http://schemas.microsoft.com/office/drawing/2014/chart" uri="{C3380CC4-5D6E-409C-BE32-E72D297353CC}">
                <c16:uniqueId val="{00000011-9E2D-4A17-BA2D-580AE6314BB6}"/>
              </c:ext>
            </c:extLst>
          </c:dPt>
          <c:dPt>
            <c:idx val="19"/>
            <c:invertIfNegative val="0"/>
            <c:bubble3D val="0"/>
            <c:spPr>
              <a:solidFill>
                <a:srgbClr val="08989C"/>
              </a:solidFill>
              <a:ln>
                <a:noFill/>
              </a:ln>
              <a:effectLst/>
              <a:sp3d/>
            </c:spPr>
            <c:extLst>
              <c:ext xmlns:c16="http://schemas.microsoft.com/office/drawing/2014/chart" uri="{C3380CC4-5D6E-409C-BE32-E72D297353CC}">
                <c16:uniqueId val="{00000013-9E2D-4A17-BA2D-580AE6314BB6}"/>
              </c:ext>
            </c:extLst>
          </c:dPt>
          <c:dPt>
            <c:idx val="20"/>
            <c:invertIfNegative val="0"/>
            <c:bubble3D val="0"/>
            <c:spPr>
              <a:solidFill>
                <a:srgbClr val="08989C"/>
              </a:solidFill>
              <a:ln>
                <a:noFill/>
              </a:ln>
              <a:effectLst/>
            </c:spPr>
            <c:extLst>
              <c:ext xmlns:c16="http://schemas.microsoft.com/office/drawing/2014/chart" uri="{C3380CC4-5D6E-409C-BE32-E72D297353CC}">
                <c16:uniqueId val="{00000015-9E2D-4A17-BA2D-580AE6314BB6}"/>
              </c:ext>
            </c:extLst>
          </c:dPt>
          <c:dPt>
            <c:idx val="21"/>
            <c:invertIfNegative val="0"/>
            <c:bubble3D val="0"/>
            <c:spPr>
              <a:solidFill>
                <a:srgbClr val="08989C"/>
              </a:solidFill>
              <a:ln>
                <a:noFill/>
              </a:ln>
              <a:effectLst/>
              <a:sp3d/>
            </c:spPr>
            <c:extLst>
              <c:ext xmlns:c16="http://schemas.microsoft.com/office/drawing/2014/chart" uri="{C3380CC4-5D6E-409C-BE32-E72D297353CC}">
                <c16:uniqueId val="{00000017-9E2D-4A17-BA2D-580AE6314BB6}"/>
              </c:ext>
            </c:extLst>
          </c:dPt>
          <c:dPt>
            <c:idx val="32"/>
            <c:invertIfNegative val="0"/>
            <c:bubble3D val="0"/>
            <c:spPr>
              <a:solidFill>
                <a:srgbClr val="08989C"/>
              </a:solidFill>
              <a:ln>
                <a:noFill/>
              </a:ln>
              <a:effectLst/>
              <a:sp3d/>
            </c:spPr>
            <c:extLst>
              <c:ext xmlns:c16="http://schemas.microsoft.com/office/drawing/2014/chart" uri="{C3380CC4-5D6E-409C-BE32-E72D297353CC}">
                <c16:uniqueId val="{00000019-9E2D-4A17-BA2D-580AE6314BB6}"/>
              </c:ext>
            </c:extLst>
          </c:dPt>
          <c:dLbls>
            <c:dLbl>
              <c:idx val="0"/>
              <c:layout>
                <c:manualLayout>
                  <c:x val="-2.5079120464834719E-2"/>
                  <c:y val="-2.3518518518518519E-3"/>
                </c:manualLayout>
              </c:layout>
              <c:spPr>
                <a:noFill/>
                <a:ln>
                  <a:noFill/>
                </a:ln>
                <a:effectLst/>
              </c:spPr>
              <c:txPr>
                <a:bodyPr rot="0" spcFirstLastPara="1" vertOverflow="ellipsis" vert="horz" wrap="square" anchor="ctr" anchorCtr="1"/>
                <a:lstStyle/>
                <a:p>
                  <a:pPr algn="ctr" rtl="0">
                    <a:defRPr sz="700" b="0" i="0" u="none" strike="noStrike" kern="1200" baseline="0">
                      <a:solidFill>
                        <a:schemeClr val="tx1"/>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15:layout>
                    <c:manualLayout>
                      <c:w val="0.1365392692146157"/>
                      <c:h val="2.9056111111111112E-2"/>
                    </c:manualLayout>
                  </c15:layout>
                </c:ext>
                <c:ext xmlns:c16="http://schemas.microsoft.com/office/drawing/2014/chart" uri="{C3380CC4-5D6E-409C-BE32-E72D297353CC}">
                  <c16:uniqueId val="{0000001A-9E2D-4A17-BA2D-580AE6314BB6}"/>
                </c:ext>
              </c:extLst>
            </c:dLbl>
            <c:dLbl>
              <c:idx val="1"/>
              <c:layout>
                <c:manualLayout>
                  <c:x val="-1.6186377059860379E-2"/>
                  <c:y val="0"/>
                </c:manualLayout>
              </c:layout>
              <c:spPr>
                <a:noFill/>
                <a:ln>
                  <a:noFill/>
                </a:ln>
                <a:effectLst/>
              </c:spPr>
              <c:txPr>
                <a:bodyPr rot="0" spcFirstLastPara="1" vertOverflow="ellipsis" vert="horz" wrap="square" anchor="ctr" anchorCtr="1"/>
                <a:lstStyle/>
                <a:p>
                  <a:pPr algn="ctr" rtl="0">
                    <a:defRPr sz="700" b="0" i="0" u="none" strike="noStrike" kern="1200" baseline="0">
                      <a:solidFill>
                        <a:schemeClr val="tx1"/>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15:layout>
                    <c:manualLayout>
                      <c:w val="0.11973960520789582"/>
                      <c:h val="2.6691481481481483E-2"/>
                    </c:manualLayout>
                  </c15:layout>
                </c:ext>
                <c:ext xmlns:c16="http://schemas.microsoft.com/office/drawing/2014/chart" uri="{C3380CC4-5D6E-409C-BE32-E72D297353CC}">
                  <c16:uniqueId val="{0000001B-9E2D-4A17-BA2D-580AE6314BB6}"/>
                </c:ext>
              </c:extLst>
            </c:dLbl>
            <c:dLbl>
              <c:idx val="2"/>
              <c:layout>
                <c:manualLayout>
                  <c:x val="-1.4046073409240399E-2"/>
                  <c:y val="-1.1757407407407407E-3"/>
                </c:manualLayout>
              </c:layout>
              <c:spPr>
                <a:noFill/>
                <a:ln>
                  <a:noFill/>
                </a:ln>
                <a:effectLst/>
              </c:spPr>
              <c:txPr>
                <a:bodyPr rot="0" spcFirstLastPara="1" vertOverflow="ellipsis" vert="horz" wrap="square" anchor="ctr" anchorCtr="1"/>
                <a:lstStyle/>
                <a:p>
                  <a:pPr algn="ctr">
                    <a:defRPr sz="700" b="0" i="0" u="none" strike="noStrike" kern="1200" baseline="0">
                      <a:solidFill>
                        <a:schemeClr val="tx1"/>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15:layout>
                    <c:manualLayout>
                      <c:w val="0.12393952120957578"/>
                      <c:h val="3.3740925925925924E-2"/>
                    </c:manualLayout>
                  </c15:layout>
                </c:ext>
                <c:ext xmlns:c16="http://schemas.microsoft.com/office/drawing/2014/chart" uri="{C3380CC4-5D6E-409C-BE32-E72D297353CC}">
                  <c16:uniqueId val="{0000001C-9E2D-4A17-BA2D-580AE6314BB6}"/>
                </c:ext>
              </c:extLst>
            </c:dLbl>
            <c:dLbl>
              <c:idx val="30"/>
              <c:layout>
                <c:manualLayout>
                  <c:x val="-4.199916001679966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9E2D-4A17-BA2D-580AE6314BB6}"/>
                </c:ext>
              </c:extLst>
            </c:dLbl>
            <c:dLbl>
              <c:idx val="31"/>
              <c:tx>
                <c:rich>
                  <a:bodyPr/>
                  <a:lstStyle/>
                  <a:p>
                    <a:fld id="{93C8FBB5-B982-4A47-BC11-5EF908290B75}" type="VALUE">
                      <a:rPr lang="en-US">
                        <a:solidFill>
                          <a:srgbClr val="4D565E"/>
                        </a:solidFill>
                      </a:rPr>
                      <a:pPr/>
                      <a:t>[VALOR]</a:t>
                    </a:fld>
                    <a:endParaRPr lang="es-MX"/>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E-9E2D-4A17-BA2D-580AE6314BB6}"/>
                </c:ext>
              </c:extLst>
            </c:dLbl>
            <c:dLbl>
              <c:idx val="32"/>
              <c:layout>
                <c:manualLayout>
                  <c:x val="-7.6484769517208085E-3"/>
                  <c:y val="0"/>
                </c:manualLayout>
              </c:layout>
              <c:spPr>
                <a:noFill/>
                <a:ln>
                  <a:noFill/>
                </a:ln>
                <a:effectLst/>
              </c:spPr>
              <c:txPr>
                <a:bodyPr rot="0" spcFirstLastPara="1" vertOverflow="ellipsis" vert="horz" wrap="square" anchor="ctr" anchorCtr="1"/>
                <a:lstStyle/>
                <a:p>
                  <a:pPr algn="r">
                    <a:defRPr sz="700" b="0" i="0" u="none" strike="noStrike" kern="1200" baseline="0">
                      <a:solidFill>
                        <a:schemeClr val="tx1"/>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15:layout>
                    <c:manualLayout>
                      <c:w val="0.16175993015572762"/>
                      <c:h val="2.668537037037037E-2"/>
                    </c:manualLayout>
                  </c15:layout>
                </c:ext>
                <c:ext xmlns:c16="http://schemas.microsoft.com/office/drawing/2014/chart" uri="{C3380CC4-5D6E-409C-BE32-E72D297353CC}">
                  <c16:uniqueId val="{00000019-9E2D-4A17-BA2D-580AE6314BB6}"/>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'Variaciones por EF'!$B$6:$B$38</c:f>
              <c:strCache>
                <c:ptCount val="33"/>
                <c:pt idx="0">
                  <c:v>Campeche</c:v>
                </c:pt>
                <c:pt idx="1">
                  <c:v>Tabasco</c:v>
                </c:pt>
                <c:pt idx="2">
                  <c:v>Quintana Roo</c:v>
                </c:pt>
                <c:pt idx="3">
                  <c:v>Durango</c:v>
                </c:pt>
                <c:pt idx="4">
                  <c:v>Chihuahua</c:v>
                </c:pt>
                <c:pt idx="5">
                  <c:v>Chiapas</c:v>
                </c:pt>
                <c:pt idx="6">
                  <c:v>Puebla</c:v>
                </c:pt>
                <c:pt idx="7">
                  <c:v>Sonora</c:v>
                </c:pt>
                <c:pt idx="8">
                  <c:v>Veracruz</c:v>
                </c:pt>
                <c:pt idx="9">
                  <c:v>Coahuila</c:v>
                </c:pt>
                <c:pt idx="10">
                  <c:v>Nacional</c:v>
                </c:pt>
                <c:pt idx="11">
                  <c:v>Hidalgo</c:v>
                </c:pt>
                <c:pt idx="12">
                  <c:v>Jalisco</c:v>
                </c:pt>
                <c:pt idx="13">
                  <c:v>Tlaxcala</c:v>
                </c:pt>
                <c:pt idx="14">
                  <c:v>Baja California</c:v>
                </c:pt>
                <c:pt idx="15">
                  <c:v>Michoacán</c:v>
                </c:pt>
                <c:pt idx="16">
                  <c:v>Morelos</c:v>
                </c:pt>
                <c:pt idx="17">
                  <c:v>Querétaro</c:v>
                </c:pt>
                <c:pt idx="18">
                  <c:v>Sinaloa</c:v>
                </c:pt>
                <c:pt idx="19">
                  <c:v>México</c:v>
                </c:pt>
                <c:pt idx="20">
                  <c:v>Aguascalientes</c:v>
                </c:pt>
                <c:pt idx="21">
                  <c:v>Yucatán</c:v>
                </c:pt>
                <c:pt idx="22">
                  <c:v>Nuevo León</c:v>
                </c:pt>
                <c:pt idx="23">
                  <c:v>Zacatecas</c:v>
                </c:pt>
                <c:pt idx="24">
                  <c:v>Tamaulipas</c:v>
                </c:pt>
                <c:pt idx="25">
                  <c:v>Colima</c:v>
                </c:pt>
                <c:pt idx="26">
                  <c:v>Ciudad de México</c:v>
                </c:pt>
                <c:pt idx="27">
                  <c:v>San Luis Potosí</c:v>
                </c:pt>
                <c:pt idx="28">
                  <c:v>Guanajuato</c:v>
                </c:pt>
                <c:pt idx="29">
                  <c:v>Baja California Sur</c:v>
                </c:pt>
                <c:pt idx="30">
                  <c:v>Nayarit</c:v>
                </c:pt>
                <c:pt idx="31">
                  <c:v>Oaxaca</c:v>
                </c:pt>
                <c:pt idx="32">
                  <c:v>Guerrero</c:v>
                </c:pt>
              </c:strCache>
            </c:strRef>
          </c:cat>
          <c:val>
            <c:numRef>
              <c:f>'Variaciones por EF'!$C$6:$C$38</c:f>
              <c:numCache>
                <c:formatCode>0.0</c:formatCode>
                <c:ptCount val="33"/>
                <c:pt idx="0">
                  <c:v>-16.679304384988853</c:v>
                </c:pt>
                <c:pt idx="1">
                  <c:v>-12.781620349523763</c:v>
                </c:pt>
                <c:pt idx="2">
                  <c:v>-9.4354381673375372</c:v>
                </c:pt>
                <c:pt idx="3">
                  <c:v>-0.86781932585884647</c:v>
                </c:pt>
                <c:pt idx="4">
                  <c:v>-0.54291079334790027</c:v>
                </c:pt>
                <c:pt idx="5">
                  <c:v>-0.49092488095099895</c:v>
                </c:pt>
                <c:pt idx="6">
                  <c:v>-0.14425372002824588</c:v>
                </c:pt>
                <c:pt idx="7">
                  <c:v>0.24599114616296447</c:v>
                </c:pt>
                <c:pt idx="8">
                  <c:v>0.35647325389824402</c:v>
                </c:pt>
                <c:pt idx="9">
                  <c:v>0.57004213332673714</c:v>
                </c:pt>
                <c:pt idx="10">
                  <c:v>0.79692409362999705</c:v>
                </c:pt>
                <c:pt idx="11">
                  <c:v>0.85064158737671391</c:v>
                </c:pt>
                <c:pt idx="12">
                  <c:v>0.99910333444506705</c:v>
                </c:pt>
                <c:pt idx="13">
                  <c:v>1.1477431455932532</c:v>
                </c:pt>
                <c:pt idx="14">
                  <c:v>1.2055102076039361</c:v>
                </c:pt>
                <c:pt idx="15">
                  <c:v>1.252154998979421</c:v>
                </c:pt>
                <c:pt idx="16">
                  <c:v>1.3107576828294611</c:v>
                </c:pt>
                <c:pt idx="17">
                  <c:v>1.4543259670532365</c:v>
                </c:pt>
                <c:pt idx="18">
                  <c:v>1.5180405962027237</c:v>
                </c:pt>
                <c:pt idx="19">
                  <c:v>1.5702630077030193</c:v>
                </c:pt>
                <c:pt idx="20">
                  <c:v>1.6433240915855833</c:v>
                </c:pt>
                <c:pt idx="21">
                  <c:v>1.7719801305322562</c:v>
                </c:pt>
                <c:pt idx="22">
                  <c:v>2.009794731194134</c:v>
                </c:pt>
                <c:pt idx="23">
                  <c:v>2.6684113132714913</c:v>
                </c:pt>
                <c:pt idx="24">
                  <c:v>2.6769997550805158</c:v>
                </c:pt>
                <c:pt idx="25">
                  <c:v>2.7344360724499381</c:v>
                </c:pt>
                <c:pt idx="26">
                  <c:v>2.9751025396099919</c:v>
                </c:pt>
                <c:pt idx="27">
                  <c:v>3.1173447842846542</c:v>
                </c:pt>
                <c:pt idx="28">
                  <c:v>3.1597118676708362</c:v>
                </c:pt>
                <c:pt idx="29">
                  <c:v>3.9710557133958275</c:v>
                </c:pt>
                <c:pt idx="30">
                  <c:v>4.6992978016786537</c:v>
                </c:pt>
                <c:pt idx="31">
                  <c:v>5.5898000794779108</c:v>
                </c:pt>
                <c:pt idx="32">
                  <c:v>6.8229758946258841</c:v>
                </c:pt>
              </c:numCache>
            </c:numRef>
          </c:val>
          <c:extLst>
            <c:ext xmlns:c15="http://schemas.microsoft.com/office/drawing/2012/chart" uri="{02D57815-91ED-43cb-92C2-25804820EDAC}">
              <c15:filteredSeriesTitle>
                <c15:tx>
                  <c:v>Total</c:v>
                </c15:tx>
              </c15:filteredSeriesTitle>
            </c:ext>
            <c:ext xmlns:c16="http://schemas.microsoft.com/office/drawing/2014/chart" uri="{C3380CC4-5D6E-409C-BE32-E72D297353CC}">
              <c16:uniqueId val="{0000001F-9E2D-4A17-BA2D-580AE6314BB6}"/>
            </c:ext>
          </c:extLst>
        </c:ser>
        <c:dLbls>
          <c:showLegendKey val="0"/>
          <c:showVal val="0"/>
          <c:showCatName val="0"/>
          <c:showSerName val="0"/>
          <c:showPercent val="0"/>
          <c:showBubbleSize val="0"/>
        </c:dLbls>
        <c:gapWidth val="20"/>
        <c:axId val="499231128"/>
        <c:axId val="499231520"/>
      </c:barChart>
      <c:catAx>
        <c:axId val="499231128"/>
        <c:scaling>
          <c:orientation val="minMax"/>
        </c:scaling>
        <c:delete val="0"/>
        <c:axPos val="l"/>
        <c:numFmt formatCode="General" sourceLinked="0"/>
        <c:majorTickMark val="cross"/>
        <c:minorTickMark val="none"/>
        <c:tickLblPos val="low"/>
        <c:spPr>
          <a:noFill/>
          <a:ln w="6350" cap="flat" cmpd="sng" algn="ctr">
            <a:solidFill>
              <a:srgbClr val="C0C0C0"/>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s-MX"/>
          </a:p>
        </c:txPr>
        <c:crossAx val="499231520"/>
        <c:crossesAt val="0"/>
        <c:auto val="1"/>
        <c:lblAlgn val="ctr"/>
        <c:lblOffset val="100"/>
        <c:noMultiLvlLbl val="0"/>
      </c:catAx>
      <c:valAx>
        <c:axId val="499231520"/>
        <c:scaling>
          <c:orientation val="minMax"/>
          <c:max val="8"/>
          <c:min val="-24"/>
        </c:scaling>
        <c:delete val="0"/>
        <c:axPos val="b"/>
        <c:numFmt formatCode="#,##0.0" sourceLinked="0"/>
        <c:majorTickMark val="out"/>
        <c:minorTickMark val="none"/>
        <c:tickLblPos val="nextTo"/>
        <c:spPr>
          <a:noFill/>
          <a:ln w="9525" cap="flat" cmpd="sng" algn="ctr">
            <a:solidFill>
              <a:srgbClr val="D8551E"/>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s-MX"/>
          </a:p>
        </c:txPr>
        <c:crossAx val="499231128"/>
        <c:crosses val="autoZero"/>
        <c:crossBetween val="between"/>
        <c:majorUnit val="8"/>
        <c:minorUnit val="1"/>
      </c:valAx>
      <c:spPr>
        <a:noFill/>
        <a:ln>
          <a:noFill/>
        </a:ln>
        <a:effectLst/>
      </c:spPr>
    </c:plotArea>
    <c:plotVisOnly val="1"/>
    <c:dispBlanksAs val="gap"/>
    <c:showDLblsOverMax val="0"/>
  </c:chart>
  <c:spPr>
    <a:noFill/>
    <a:ln w="6350" cap="flat" cmpd="sng" algn="ctr">
      <a:solidFill>
        <a:srgbClr val="C0C0C0"/>
      </a:solidFill>
      <a:prstDash val="solid"/>
      <a:round/>
    </a:ln>
    <a:effectLst/>
  </c:spPr>
  <c:txPr>
    <a:bodyPr/>
    <a:lstStyle/>
    <a:p>
      <a:pPr>
        <a:defRPr sz="700"/>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209775990876047"/>
          <c:y val="2.2274306150399905E-2"/>
          <c:w val="0.64540548013063836"/>
          <c:h val="0.93805666666666665"/>
        </c:manualLayout>
      </c:layout>
      <c:barChart>
        <c:barDir val="bar"/>
        <c:grouping val="clustered"/>
        <c:varyColors val="0"/>
        <c:ser>
          <c:idx val="0"/>
          <c:order val="0"/>
          <c:tx>
            <c:strRef>
              <c:f>Contribuciones!$A$5</c:f>
              <c:strCache>
                <c:ptCount val="1"/>
                <c:pt idx="0">
                  <c:v>Total</c:v>
                </c:pt>
              </c:strCache>
            </c:strRef>
          </c:tx>
          <c:spPr>
            <a:solidFill>
              <a:srgbClr val="08989C"/>
            </a:solidFill>
            <a:ln>
              <a:noFill/>
            </a:ln>
          </c:spPr>
          <c:invertIfNegative val="0"/>
          <c:dLbls>
            <c:dLbl>
              <c:idx val="0"/>
              <c:layout>
                <c:manualLayout>
                  <c:x val="-3.7704497878546288E-2"/>
                  <c:y val="1.1760555098200634E-3"/>
                </c:manualLayout>
              </c:layout>
              <c:numFmt formatCode="#,##0.00" sourceLinked="0"/>
              <c:spPr>
                <a:noFill/>
                <a:ln>
                  <a:noFill/>
                </a:ln>
                <a:effectLst/>
              </c:spPr>
              <c:txPr>
                <a:bodyPr rot="0"/>
                <a:lstStyle/>
                <a:p>
                  <a:pPr algn="l">
                    <a:defRPr sz="700">
                      <a:latin typeface="+mn-lt"/>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1799680541822233"/>
                      <c:h val="2.9695494225752652E-2"/>
                    </c:manualLayout>
                  </c15:layout>
                </c:ext>
                <c:ext xmlns:c16="http://schemas.microsoft.com/office/drawing/2014/chart" uri="{C3380CC4-5D6E-409C-BE32-E72D297353CC}">
                  <c16:uniqueId val="{00000000-428B-49A6-94A4-00FBF1FABC24}"/>
                </c:ext>
              </c:extLst>
            </c:dLbl>
            <c:dLbl>
              <c:idx val="1"/>
              <c:layout>
                <c:manualLayout>
                  <c:x val="-1.6405797868294603E-2"/>
                  <c:y val="-1.7248614886556546E-16"/>
                </c:manualLayout>
              </c:layout>
              <c:numFmt formatCode="#,##0.00" sourceLinked="0"/>
              <c:spPr>
                <a:noFill/>
                <a:ln>
                  <a:noFill/>
                </a:ln>
                <a:effectLst/>
              </c:spPr>
              <c:txPr>
                <a:bodyPr rot="0"/>
                <a:lstStyle/>
                <a:p>
                  <a:pPr algn="l">
                    <a:defRPr sz="600">
                      <a:latin typeface="+mn-lt"/>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9.6997225409822516E-2"/>
                      <c:h val="3.2047605245392782E-2"/>
                    </c:manualLayout>
                  </c15:layout>
                </c:ext>
                <c:ext xmlns:c16="http://schemas.microsoft.com/office/drawing/2014/chart" uri="{C3380CC4-5D6E-409C-BE32-E72D297353CC}">
                  <c16:uniqueId val="{00000001-428B-49A6-94A4-00FBF1FABC24}"/>
                </c:ext>
              </c:extLst>
            </c:dLbl>
            <c:dLbl>
              <c:idx val="2"/>
              <c:numFmt formatCode="#,##0.00" sourceLinked="0"/>
              <c:spPr>
                <a:noFill/>
                <a:ln>
                  <a:noFill/>
                </a:ln>
                <a:effectLst/>
              </c:spPr>
              <c:txPr>
                <a:bodyPr rot="0"/>
                <a:lstStyle/>
                <a:p>
                  <a:pPr algn="l">
                    <a:defRPr sz="600">
                      <a:latin typeface="+mn-lt"/>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9.0340193196136065E-2"/>
                      <c:h val="2.9036903140253412E-2"/>
                    </c:manualLayout>
                  </c15:layout>
                </c:ext>
                <c:ext xmlns:c16="http://schemas.microsoft.com/office/drawing/2014/chart" uri="{C3380CC4-5D6E-409C-BE32-E72D297353CC}">
                  <c16:uniqueId val="{00000002-428B-49A6-94A4-00FBF1FABC24}"/>
                </c:ext>
              </c:extLst>
            </c:dLbl>
            <c:dLbl>
              <c:idx val="3"/>
              <c:layout>
                <c:manualLayout>
                  <c:x val="-4.199916001679966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8B-49A6-94A4-00FBF1FABC24}"/>
                </c:ext>
              </c:extLst>
            </c:dLbl>
            <c:dLbl>
              <c:idx val="4"/>
              <c:layout>
                <c:manualLayout>
                  <c:x val="3.9682539682539683E-7"/>
                  <c:y val="-1.034802860683865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8B-49A6-94A4-00FBF1FABC24}"/>
                </c:ext>
              </c:extLst>
            </c:dLbl>
            <c:dLbl>
              <c:idx val="5"/>
              <c:layout>
                <c:manualLayout>
                  <c:x val="-1.3438408397186311E-2"/>
                  <c:y val="9.2602796048823892E-8"/>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0386327561327562"/>
                      <c:h val="2.7824120324120325E-2"/>
                    </c:manualLayout>
                  </c15:layout>
                </c:ext>
                <c:ext xmlns:c16="http://schemas.microsoft.com/office/drawing/2014/chart" uri="{C3380CC4-5D6E-409C-BE32-E72D297353CC}">
                  <c16:uniqueId val="{00000005-428B-49A6-94A4-00FBF1FABC24}"/>
                </c:ext>
              </c:extLst>
            </c:dLbl>
            <c:dLbl>
              <c:idx val="6"/>
              <c:layout>
                <c:manualLayout>
                  <c:x val="1.3228081895055012E-6"/>
                  <c:y val="-4.23417024653642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8B-49A6-94A4-00FBF1FABC24}"/>
                </c:ext>
              </c:extLst>
            </c:dLbl>
            <c:dLbl>
              <c:idx val="7"/>
              <c:layout>
                <c:manualLayout>
                  <c:x val="9.9210614220612339E-7"/>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8B-49A6-94A4-00FBF1FABC24}"/>
                </c:ext>
              </c:extLst>
            </c:dLbl>
            <c:dLbl>
              <c:idx val="24"/>
              <c:layout>
                <c:manualLayout>
                  <c:x val="0"/>
                  <c:y val="-2.58700715170966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28B-49A6-94A4-00FBF1FABC24}"/>
                </c:ext>
              </c:extLst>
            </c:dLbl>
            <c:dLbl>
              <c:idx val="28"/>
              <c:layout>
                <c:manualLayout>
                  <c:x val="-8.3965249828861694E-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28B-49A6-94A4-00FBF1FABC24}"/>
                </c:ext>
              </c:extLst>
            </c:dLbl>
            <c:dLbl>
              <c:idx val="29"/>
              <c:layout>
                <c:manualLayout>
                  <c:x val="-8.3965249828861694E-4"/>
                  <c:y val="-2.35211101964013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28B-49A6-94A4-00FBF1FABC24}"/>
                </c:ext>
              </c:extLst>
            </c:dLbl>
            <c:dLbl>
              <c:idx val="30"/>
              <c:layout>
                <c:manualLayout>
                  <c:x val="-5.4292347223921664E-2"/>
                  <c:y val="1.1760555098200634E-3"/>
                </c:manualLayout>
              </c:layout>
              <c:numFmt formatCode="#,##0.00" sourceLinked="0"/>
              <c:spPr>
                <a:noFill/>
                <a:ln>
                  <a:noFill/>
                </a:ln>
                <a:effectLst/>
              </c:spPr>
              <c:txPr>
                <a:bodyPr rot="0"/>
                <a:lstStyle/>
                <a:p>
                  <a:pPr algn="r">
                    <a:defRPr sz="700">
                      <a:latin typeface="+mn-lt"/>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2516047316848938"/>
                      <c:h val="2.8294413921533947E-2"/>
                    </c:manualLayout>
                  </c15:layout>
                </c:ext>
                <c:ext xmlns:c16="http://schemas.microsoft.com/office/drawing/2014/chart" uri="{C3380CC4-5D6E-409C-BE32-E72D297353CC}">
                  <c16:uniqueId val="{0000000B-428B-49A6-94A4-00FBF1FABC24}"/>
                </c:ext>
              </c:extLst>
            </c:dLbl>
            <c:dLbl>
              <c:idx val="31"/>
              <c:layout>
                <c:manualLayout>
                  <c:x val="-8.3998320033599333E-3"/>
                  <c:y val="0"/>
                </c:manualLayout>
              </c:layout>
              <c:tx>
                <c:rich>
                  <a:bodyPr rot="0"/>
                  <a:lstStyle/>
                  <a:p>
                    <a:pPr algn="r">
                      <a:defRPr sz="700">
                        <a:latin typeface="+mn-lt"/>
                      </a:defRPr>
                    </a:pPr>
                    <a:r>
                      <a:rPr lang="en-US" sz="700">
                        <a:latin typeface="+mn-lt"/>
                      </a:rPr>
                      <a:t>0.45</a:t>
                    </a:r>
                  </a:p>
                </c:rich>
              </c:tx>
              <c:numFmt formatCode="#,##0.00"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9.8007189462509969E-2"/>
                      <c:h val="3.2047605245392782E-2"/>
                    </c:manualLayout>
                  </c15:layout>
                  <c15:showDataLabelsRange val="0"/>
                </c:ext>
                <c:ext xmlns:c16="http://schemas.microsoft.com/office/drawing/2014/chart" uri="{C3380CC4-5D6E-409C-BE32-E72D297353CC}">
                  <c16:uniqueId val="{0000000C-428B-49A6-94A4-00FBF1FABC24}"/>
                </c:ext>
              </c:extLst>
            </c:dLbl>
            <c:numFmt formatCode="#,##0.00" sourceLinked="0"/>
            <c:spPr>
              <a:noFill/>
              <a:ln>
                <a:noFill/>
              </a:ln>
              <a:effectLst/>
            </c:spPr>
            <c:txPr>
              <a:bodyPr rot="0"/>
              <a:lstStyle/>
              <a:p>
                <a:pPr>
                  <a:defRPr sz="700">
                    <a:latin typeface="+mn-lt"/>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Contribuciones!$A$7:$A$38</c:f>
              <c:strCache>
                <c:ptCount val="32"/>
                <c:pt idx="0">
                  <c:v>Campeche</c:v>
                </c:pt>
                <c:pt idx="1">
                  <c:v>Tabasco</c:v>
                </c:pt>
                <c:pt idx="2">
                  <c:v>Quintana Roo</c:v>
                </c:pt>
                <c:pt idx="3">
                  <c:v>Chihuahua</c:v>
                </c:pt>
                <c:pt idx="4">
                  <c:v>Durango</c:v>
                </c:pt>
                <c:pt idx="5">
                  <c:v>Chiapas</c:v>
                </c:pt>
                <c:pt idx="6">
                  <c:v>Puebla</c:v>
                </c:pt>
                <c:pt idx="7">
                  <c:v>Tlaxcala</c:v>
                </c:pt>
                <c:pt idx="8">
                  <c:v>Sonora</c:v>
                </c:pt>
                <c:pt idx="9">
                  <c:v>Morelos</c:v>
                </c:pt>
                <c:pt idx="10">
                  <c:v>Hidalgo</c:v>
                </c:pt>
                <c:pt idx="11">
                  <c:v>Veracruz</c:v>
                </c:pt>
                <c:pt idx="12">
                  <c:v>Colima</c:v>
                </c:pt>
                <c:pt idx="13">
                  <c:v>Coahuila</c:v>
                </c:pt>
                <c:pt idx="14">
                  <c:v>Aguascalientes</c:v>
                </c:pt>
                <c:pt idx="15">
                  <c:v>Zacatecas</c:v>
                </c:pt>
                <c:pt idx="16">
                  <c:v>Yucatán</c:v>
                </c:pt>
                <c:pt idx="17">
                  <c:v>Baja California Sur</c:v>
                </c:pt>
                <c:pt idx="18">
                  <c:v>Nayarit</c:v>
                </c:pt>
                <c:pt idx="19">
                  <c:v>Sinaloa</c:v>
                </c:pt>
                <c:pt idx="20">
                  <c:v>Michoacán</c:v>
                </c:pt>
                <c:pt idx="21">
                  <c:v>Querétaro</c:v>
                </c:pt>
                <c:pt idx="22">
                  <c:v>Baja California</c:v>
                </c:pt>
                <c:pt idx="23">
                  <c:v>San Luis Potosí</c:v>
                </c:pt>
                <c:pt idx="24">
                  <c:v>Jalisco</c:v>
                </c:pt>
                <c:pt idx="25">
                  <c:v>Tamaulipas</c:v>
                </c:pt>
                <c:pt idx="26">
                  <c:v>Guerrero</c:v>
                </c:pt>
                <c:pt idx="27">
                  <c:v>Oaxaca</c:v>
                </c:pt>
                <c:pt idx="28">
                  <c:v>México</c:v>
                </c:pt>
                <c:pt idx="29">
                  <c:v>Guanajuato</c:v>
                </c:pt>
                <c:pt idx="30">
                  <c:v>Nuevo León</c:v>
                </c:pt>
                <c:pt idx="31">
                  <c:v>Ciudad de México</c:v>
                </c:pt>
              </c:strCache>
            </c:strRef>
          </c:cat>
          <c:val>
            <c:numRef>
              <c:f>Contribuciones!$B$7:$B$38</c:f>
              <c:numCache>
                <c:formatCode>0.00</c:formatCode>
                <c:ptCount val="32"/>
                <c:pt idx="0">
                  <c:v>-0.35770942738585293</c:v>
                </c:pt>
                <c:pt idx="1">
                  <c:v>-0.33907757242313269</c:v>
                </c:pt>
                <c:pt idx="2">
                  <c:v>-0.14468041157526346</c:v>
                </c:pt>
                <c:pt idx="3">
                  <c:v>-1.9553563353478708E-2</c:v>
                </c:pt>
                <c:pt idx="4">
                  <c:v>-1.1106593989815772E-2</c:v>
                </c:pt>
                <c:pt idx="5">
                  <c:v>-7.9497955388017193E-3</c:v>
                </c:pt>
                <c:pt idx="6">
                  <c:v>4.9235477070394803E-3</c:v>
                </c:pt>
                <c:pt idx="7">
                  <c:v>6.5862722859677337E-3</c:v>
                </c:pt>
                <c:pt idx="8">
                  <c:v>8.1574521791382571E-3</c:v>
                </c:pt>
                <c:pt idx="9">
                  <c:v>1.4138046741604078E-2</c:v>
                </c:pt>
                <c:pt idx="10">
                  <c:v>1.5270301622077369E-2</c:v>
                </c:pt>
                <c:pt idx="11">
                  <c:v>1.6095419205528601E-2</c:v>
                </c:pt>
                <c:pt idx="12">
                  <c:v>1.7718304010856334E-2</c:v>
                </c:pt>
                <c:pt idx="13">
                  <c:v>2.0104424063690535E-2</c:v>
                </c:pt>
                <c:pt idx="14">
                  <c:v>2.1457561823622871E-2</c:v>
                </c:pt>
                <c:pt idx="15">
                  <c:v>2.3166653576134896E-2</c:v>
                </c:pt>
                <c:pt idx="16">
                  <c:v>2.7925188577172744E-2</c:v>
                </c:pt>
                <c:pt idx="17">
                  <c:v>2.8502677453400842E-2</c:v>
                </c:pt>
                <c:pt idx="18">
                  <c:v>2.931377282730108E-2</c:v>
                </c:pt>
                <c:pt idx="19">
                  <c:v>3.2893383840225221E-2</c:v>
                </c:pt>
                <c:pt idx="20">
                  <c:v>3.3699706251786372E-2</c:v>
                </c:pt>
                <c:pt idx="21">
                  <c:v>3.5253557313336063E-2</c:v>
                </c:pt>
                <c:pt idx="22">
                  <c:v>4.4256781331090143E-2</c:v>
                </c:pt>
                <c:pt idx="23">
                  <c:v>7.1419334684540273E-2</c:v>
                </c:pt>
                <c:pt idx="24">
                  <c:v>7.2679765188697662E-2</c:v>
                </c:pt>
                <c:pt idx="25">
                  <c:v>8.0769768214542251E-2</c:v>
                </c:pt>
                <c:pt idx="26">
                  <c:v>8.6462808181198003E-2</c:v>
                </c:pt>
                <c:pt idx="27">
                  <c:v>0.10261899312261905</c:v>
                </c:pt>
                <c:pt idx="28">
                  <c:v>0.14039799697002975</c:v>
                </c:pt>
                <c:pt idx="29">
                  <c:v>0.14278045121078398</c:v>
                </c:pt>
                <c:pt idx="30">
                  <c:v>0.16098490284226449</c:v>
                </c:pt>
                <c:pt idx="31">
                  <c:v>0.44927148208574574</c:v>
                </c:pt>
              </c:numCache>
            </c:numRef>
          </c:val>
          <c:extLst>
            <c:ext xmlns:c16="http://schemas.microsoft.com/office/drawing/2014/chart" uri="{C3380CC4-5D6E-409C-BE32-E72D297353CC}">
              <c16:uniqueId val="{0000000D-428B-49A6-94A4-00FBF1FABC24}"/>
            </c:ext>
          </c:extLst>
        </c:ser>
        <c:dLbls>
          <c:showLegendKey val="0"/>
          <c:showVal val="0"/>
          <c:showCatName val="0"/>
          <c:showSerName val="0"/>
          <c:showPercent val="0"/>
          <c:showBubbleSize val="0"/>
        </c:dLbls>
        <c:gapWidth val="30"/>
        <c:axId val="417157528"/>
        <c:axId val="417157920"/>
      </c:barChart>
      <c:catAx>
        <c:axId val="417157528"/>
        <c:scaling>
          <c:orientation val="minMax"/>
        </c:scaling>
        <c:delete val="0"/>
        <c:axPos val="l"/>
        <c:numFmt formatCode="General" sourceLinked="0"/>
        <c:majorTickMark val="cross"/>
        <c:minorTickMark val="none"/>
        <c:tickLblPos val="low"/>
        <c:spPr>
          <a:ln w="6350">
            <a:solidFill>
              <a:srgbClr val="C0C0C0"/>
            </a:solidFill>
          </a:ln>
        </c:spPr>
        <c:txPr>
          <a:bodyPr/>
          <a:lstStyle/>
          <a:p>
            <a:pPr>
              <a:defRPr sz="700">
                <a:latin typeface="+mn-lt"/>
              </a:defRPr>
            </a:pPr>
            <a:endParaRPr lang="es-MX"/>
          </a:p>
        </c:txPr>
        <c:crossAx val="417157920"/>
        <c:crosses val="autoZero"/>
        <c:auto val="1"/>
        <c:lblAlgn val="ctr"/>
        <c:lblOffset val="100"/>
        <c:noMultiLvlLbl val="0"/>
      </c:catAx>
      <c:valAx>
        <c:axId val="417157920"/>
        <c:scaling>
          <c:orientation val="minMax"/>
          <c:min val="-0.5"/>
        </c:scaling>
        <c:delete val="0"/>
        <c:axPos val="b"/>
        <c:numFmt formatCode="#,##0.00" sourceLinked="0"/>
        <c:majorTickMark val="out"/>
        <c:minorTickMark val="none"/>
        <c:tickLblPos val="nextTo"/>
        <c:spPr>
          <a:ln w="9525">
            <a:solidFill>
              <a:srgbClr val="D8551E"/>
            </a:solidFill>
          </a:ln>
        </c:spPr>
        <c:txPr>
          <a:bodyPr/>
          <a:lstStyle/>
          <a:p>
            <a:pPr>
              <a:defRPr sz="700">
                <a:latin typeface="+mn-lt"/>
                <a:cs typeface="Times New Roman" panose="02020603050405020304" pitchFamily="18" charset="0"/>
              </a:defRPr>
            </a:pPr>
            <a:endParaRPr lang="es-MX"/>
          </a:p>
        </c:txPr>
        <c:crossAx val="417157528"/>
        <c:crosses val="autoZero"/>
        <c:crossBetween val="between"/>
        <c:majorUnit val="0.25"/>
      </c:valAx>
      <c:spPr>
        <a:noFill/>
        <a:ln>
          <a:noFill/>
        </a:ln>
      </c:spPr>
    </c:plotArea>
    <c:plotVisOnly val="1"/>
    <c:dispBlanksAs val="gap"/>
    <c:showDLblsOverMax val="0"/>
  </c:chart>
  <c:spPr>
    <a:noFill/>
    <a:ln w="6350">
      <a:solidFill>
        <a:srgbClr val="C0C0C0"/>
      </a:solidFill>
    </a:ln>
    <a:effectLst/>
  </c:spPr>
  <c:txPr>
    <a:bodyPr/>
    <a:lstStyle/>
    <a:p>
      <a:pPr>
        <a:defRPr sz="600">
          <a:latin typeface="Arial" panose="020B0604020202020204" pitchFamily="34" charset="0"/>
          <a:cs typeface="Arial" panose="020B0604020202020204" pitchFamily="34" charset="0"/>
        </a:defRPr>
      </a:pPr>
      <a:endParaRPr lang="es-MX"/>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750189036869749"/>
          <c:y val="1.9088888888888891E-2"/>
          <c:w val="0.59686450845372885"/>
          <c:h val="0.95115832207437667"/>
        </c:manualLayout>
      </c:layout>
      <c:barChart>
        <c:barDir val="bar"/>
        <c:grouping val="clustered"/>
        <c:varyColors val="0"/>
        <c:ser>
          <c:idx val="0"/>
          <c:order val="0"/>
          <c:tx>
            <c:strRef>
              <c:f>'Variaciones por EF'!$P$4</c:f>
              <c:strCache>
                <c:ptCount val="1"/>
                <c:pt idx="0">
                  <c:v>Terciarias</c:v>
                </c:pt>
              </c:strCache>
            </c:strRef>
          </c:tx>
          <c:spPr>
            <a:solidFill>
              <a:srgbClr val="08989C"/>
            </a:solidFill>
            <a:ln w="0">
              <a:noFill/>
            </a:ln>
            <a:effectLst/>
          </c:spPr>
          <c:invertIfNegative val="0"/>
          <c:dPt>
            <c:idx val="10"/>
            <c:invertIfNegative val="0"/>
            <c:bubble3D val="0"/>
            <c:extLst>
              <c:ext xmlns:c16="http://schemas.microsoft.com/office/drawing/2014/chart" uri="{C3380CC4-5D6E-409C-BE32-E72D297353CC}">
                <c16:uniqueId val="{00000000-881D-4FCF-802C-097EC9AB0304}"/>
              </c:ext>
            </c:extLst>
          </c:dPt>
          <c:dPt>
            <c:idx val="11"/>
            <c:invertIfNegative val="0"/>
            <c:bubble3D val="0"/>
            <c:extLst>
              <c:ext xmlns:c16="http://schemas.microsoft.com/office/drawing/2014/chart" uri="{C3380CC4-5D6E-409C-BE32-E72D297353CC}">
                <c16:uniqueId val="{00000001-881D-4FCF-802C-097EC9AB0304}"/>
              </c:ext>
            </c:extLst>
          </c:dPt>
          <c:dPt>
            <c:idx val="13"/>
            <c:invertIfNegative val="0"/>
            <c:bubble3D val="0"/>
            <c:extLst>
              <c:ext xmlns:c16="http://schemas.microsoft.com/office/drawing/2014/chart" uri="{C3380CC4-5D6E-409C-BE32-E72D297353CC}">
                <c16:uniqueId val="{00000002-881D-4FCF-802C-097EC9AB0304}"/>
              </c:ext>
            </c:extLst>
          </c:dPt>
          <c:dPt>
            <c:idx val="14"/>
            <c:invertIfNegative val="0"/>
            <c:bubble3D val="0"/>
            <c:extLst>
              <c:ext xmlns:c16="http://schemas.microsoft.com/office/drawing/2014/chart" uri="{C3380CC4-5D6E-409C-BE32-E72D297353CC}">
                <c16:uniqueId val="{00000003-881D-4FCF-802C-097EC9AB0304}"/>
              </c:ext>
            </c:extLst>
          </c:dPt>
          <c:dPt>
            <c:idx val="15"/>
            <c:invertIfNegative val="0"/>
            <c:bubble3D val="0"/>
            <c:extLst>
              <c:ext xmlns:c16="http://schemas.microsoft.com/office/drawing/2014/chart" uri="{C3380CC4-5D6E-409C-BE32-E72D297353CC}">
                <c16:uniqueId val="{00000004-881D-4FCF-802C-097EC9AB0304}"/>
              </c:ext>
            </c:extLst>
          </c:dPt>
          <c:dPt>
            <c:idx val="16"/>
            <c:invertIfNegative val="0"/>
            <c:bubble3D val="0"/>
            <c:extLst>
              <c:ext xmlns:c16="http://schemas.microsoft.com/office/drawing/2014/chart" uri="{C3380CC4-5D6E-409C-BE32-E72D297353CC}">
                <c16:uniqueId val="{00000005-881D-4FCF-802C-097EC9AB0304}"/>
              </c:ext>
            </c:extLst>
          </c:dPt>
          <c:dPt>
            <c:idx val="17"/>
            <c:invertIfNegative val="0"/>
            <c:bubble3D val="0"/>
            <c:extLst>
              <c:ext xmlns:c16="http://schemas.microsoft.com/office/drawing/2014/chart" uri="{C3380CC4-5D6E-409C-BE32-E72D297353CC}">
                <c16:uniqueId val="{00000006-881D-4FCF-802C-097EC9AB0304}"/>
              </c:ext>
            </c:extLst>
          </c:dPt>
          <c:dPt>
            <c:idx val="18"/>
            <c:invertIfNegative val="0"/>
            <c:bubble3D val="0"/>
            <c:extLst>
              <c:ext xmlns:c16="http://schemas.microsoft.com/office/drawing/2014/chart" uri="{C3380CC4-5D6E-409C-BE32-E72D297353CC}">
                <c16:uniqueId val="{00000007-881D-4FCF-802C-097EC9AB0304}"/>
              </c:ext>
            </c:extLst>
          </c:dPt>
          <c:dPt>
            <c:idx val="19"/>
            <c:invertIfNegative val="0"/>
            <c:bubble3D val="0"/>
            <c:extLst>
              <c:ext xmlns:c16="http://schemas.microsoft.com/office/drawing/2014/chart" uri="{C3380CC4-5D6E-409C-BE32-E72D297353CC}">
                <c16:uniqueId val="{00000008-881D-4FCF-802C-097EC9AB0304}"/>
              </c:ext>
            </c:extLst>
          </c:dPt>
          <c:dPt>
            <c:idx val="20"/>
            <c:invertIfNegative val="0"/>
            <c:bubble3D val="0"/>
            <c:spPr>
              <a:solidFill>
                <a:srgbClr val="C0C0C0"/>
              </a:solidFill>
              <a:ln w="0">
                <a:noFill/>
              </a:ln>
              <a:effectLst/>
            </c:spPr>
            <c:extLst>
              <c:ext xmlns:c16="http://schemas.microsoft.com/office/drawing/2014/chart" uri="{C3380CC4-5D6E-409C-BE32-E72D297353CC}">
                <c16:uniqueId val="{0000000A-881D-4FCF-802C-097EC9AB0304}"/>
              </c:ext>
            </c:extLst>
          </c:dPt>
          <c:dPt>
            <c:idx val="23"/>
            <c:invertIfNegative val="0"/>
            <c:bubble3D val="0"/>
            <c:extLst>
              <c:ext xmlns:c16="http://schemas.microsoft.com/office/drawing/2014/chart" uri="{C3380CC4-5D6E-409C-BE32-E72D297353CC}">
                <c16:uniqueId val="{0000000B-881D-4FCF-802C-097EC9AB0304}"/>
              </c:ext>
            </c:extLst>
          </c:dPt>
          <c:dLbls>
            <c:dLbl>
              <c:idx val="0"/>
              <c:layout>
                <c:manualLayout>
                  <c:x val="-1.6002010668448047E-2"/>
                  <c:y val="-7.439260048497274E-4"/>
                </c:manualLayout>
              </c:layout>
              <c:numFmt formatCode="#,##0.0" sourceLinked="0"/>
              <c:spPr>
                <a:noFill/>
                <a:ln>
                  <a:noFill/>
                </a:ln>
                <a:effectLst/>
              </c:spPr>
              <c:txPr>
                <a:bodyPr wrap="square" lIns="38100" tIns="19050" rIns="38100" bIns="19050" anchor="ctr">
                  <a:noAutofit/>
                </a:bodyPr>
                <a:lstStyle/>
                <a:p>
                  <a:pPr>
                    <a:defRPr sz="700">
                      <a:solidFill>
                        <a:srgbClr val="4D565E"/>
                      </a:solidFill>
                    </a:defRPr>
                  </a:pPr>
                  <a:endParaRPr lang="es-MX"/>
                </a:p>
              </c:txPr>
              <c:showLegendKey val="0"/>
              <c:showVal val="1"/>
              <c:showCatName val="0"/>
              <c:showSerName val="0"/>
              <c:showPercent val="0"/>
              <c:showBubbleSize val="0"/>
              <c:extLst>
                <c:ext xmlns:c15="http://schemas.microsoft.com/office/drawing/2012/chart" uri="{CE6537A1-D6FC-4f65-9D91-7224C49458BB}">
                  <c15:layout>
                    <c:manualLayout>
                      <c:w val="9.451894426678395E-2"/>
                      <c:h val="2.6684792120613289E-2"/>
                    </c:manualLayout>
                  </c15:layout>
                </c:ext>
                <c:ext xmlns:c16="http://schemas.microsoft.com/office/drawing/2014/chart" uri="{C3380CC4-5D6E-409C-BE32-E72D297353CC}">
                  <c16:uniqueId val="{0000000C-881D-4FCF-802C-097EC9AB0304}"/>
                </c:ext>
              </c:extLst>
            </c:dLbl>
            <c:dLbl>
              <c:idx val="1"/>
              <c:layout>
                <c:manualLayout>
                  <c:x val="-7.781746031746032E-3"/>
                  <c:y val="-7.01999999999896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81D-4FCF-802C-097EC9AB0304}"/>
                </c:ext>
              </c:extLst>
            </c:dLbl>
            <c:dLbl>
              <c:idx val="2"/>
              <c:layout>
                <c:manualLayout>
                  <c:x val="-7.7853174603174603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81D-4FCF-802C-097EC9AB0304}"/>
                </c:ext>
              </c:extLst>
            </c:dLbl>
            <c:dLbl>
              <c:idx val="3"/>
              <c:layout>
                <c:manualLayout>
                  <c:x val="-1.2821825396825397E-2"/>
                  <c:y val="-7.020000000001034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81D-4FCF-802C-097EC9AB0304}"/>
                </c:ext>
              </c:extLst>
            </c:dLbl>
            <c:dLbl>
              <c:idx val="4"/>
              <c:layout>
                <c:manualLayout>
                  <c:x val="-9.9796287538816073E-2"/>
                  <c:y val="-3.05404021369003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81D-4FCF-802C-097EC9AB0304}"/>
                </c:ext>
              </c:extLst>
            </c:dLbl>
            <c:dLbl>
              <c:idx val="5"/>
              <c:layout>
                <c:manualLayout>
                  <c:x val="-9.9797610347005586E-2"/>
                  <c:y val="-7.019291940500851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81D-4FCF-802C-097EC9AB0304}"/>
                </c:ext>
              </c:extLst>
            </c:dLbl>
            <c:dLbl>
              <c:idx val="6"/>
              <c:layout>
                <c:manualLayout>
                  <c:x val="-3.2007936507936507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81D-4FCF-802C-097EC9AB0304}"/>
                </c:ext>
              </c:extLst>
            </c:dLbl>
            <c:dLbl>
              <c:idx val="7"/>
              <c:layout>
                <c:manualLayout>
                  <c:x val="-1.4297076263199222E-2"/>
                  <c:y val="-2.1131032030381127E-3"/>
                </c:manualLayout>
              </c:layout>
              <c:showLegendKey val="0"/>
              <c:showVal val="1"/>
              <c:showCatName val="0"/>
              <c:showSerName val="0"/>
              <c:showPercent val="0"/>
              <c:showBubbleSize val="0"/>
              <c:extLst>
                <c:ext xmlns:c15="http://schemas.microsoft.com/office/drawing/2012/chart" uri="{CE6537A1-D6FC-4f65-9D91-7224C49458BB}">
                  <c15:layout>
                    <c:manualLayout>
                      <c:w val="9.4540079365079382E-2"/>
                      <c:h val="3.0646444444444445E-2"/>
                    </c:manualLayout>
                  </c15:layout>
                </c:ext>
                <c:ext xmlns:c16="http://schemas.microsoft.com/office/drawing/2014/chart" uri="{C3380CC4-5D6E-409C-BE32-E72D297353CC}">
                  <c16:uniqueId val="{00000013-881D-4FCF-802C-097EC9AB0304}"/>
                </c:ext>
              </c:extLst>
            </c:dLbl>
            <c:dLbl>
              <c:idx val="8"/>
              <c:layout>
                <c:manualLayout>
                  <c:x val="-1.9286543402990978E-3"/>
                  <c:y val="-7.02001674387491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81D-4FCF-802C-097EC9AB0304}"/>
                </c:ext>
              </c:extLst>
            </c:dLbl>
            <c:dLbl>
              <c:idx val="9"/>
              <c:layout>
                <c:manualLayout>
                  <c:x val="-1.0761507936507844E-2"/>
                  <c:y val="-7.0200000000000004E-4"/>
                </c:manualLayout>
              </c:layout>
              <c:showLegendKey val="0"/>
              <c:showVal val="1"/>
              <c:showCatName val="0"/>
              <c:showSerName val="0"/>
              <c:showPercent val="0"/>
              <c:showBubbleSize val="0"/>
              <c:extLst>
                <c:ext xmlns:c15="http://schemas.microsoft.com/office/drawing/2012/chart" uri="{CE6537A1-D6FC-4f65-9D91-7224C49458BB}">
                  <c15:layout>
                    <c:manualLayout>
                      <c:w val="9.7442063492063496E-2"/>
                      <c:h val="3.3570444444444444E-2"/>
                    </c:manualLayout>
                  </c15:layout>
                </c:ext>
                <c:ext xmlns:c16="http://schemas.microsoft.com/office/drawing/2014/chart" uri="{C3380CC4-5D6E-409C-BE32-E72D297353CC}">
                  <c16:uniqueId val="{00000015-881D-4FCF-802C-097EC9AB0304}"/>
                </c:ext>
              </c:extLst>
            </c:dLbl>
            <c:dLbl>
              <c:idx val="10"/>
              <c:layout>
                <c:manualLayout>
                  <c:x val="-1.7479587416125694E-2"/>
                  <c:y val="2.1200484127417742E-3"/>
                </c:manualLayout>
              </c:layout>
              <c:showLegendKey val="0"/>
              <c:showVal val="1"/>
              <c:showCatName val="0"/>
              <c:showSerName val="0"/>
              <c:showPercent val="0"/>
              <c:showBubbleSize val="0"/>
              <c:extLst>
                <c:ext xmlns:c15="http://schemas.microsoft.com/office/drawing/2012/chart" uri="{CE6537A1-D6FC-4f65-9D91-7224C49458BB}">
                  <c15:layout>
                    <c:manualLayout>
                      <c:w val="0.10507738095238095"/>
                      <c:h val="4.1921111111111103E-2"/>
                    </c:manualLayout>
                  </c15:layout>
                </c:ext>
                <c:ext xmlns:c16="http://schemas.microsoft.com/office/drawing/2014/chart" uri="{C3380CC4-5D6E-409C-BE32-E72D297353CC}">
                  <c16:uniqueId val="{00000000-881D-4FCF-802C-097EC9AB0304}"/>
                </c:ext>
              </c:extLst>
            </c:dLbl>
            <c:dLbl>
              <c:idx val="11"/>
              <c:layout>
                <c:manualLayout>
                  <c:x val="-3.2519841269841271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1D-4FCF-802C-097EC9AB0304}"/>
                </c:ext>
              </c:extLst>
            </c:dLbl>
            <c:dLbl>
              <c:idx val="12"/>
              <c:layout>
                <c:manualLayout>
                  <c:x val="-3.6611111111112035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81D-4FCF-802C-097EC9AB0304}"/>
                </c:ext>
              </c:extLst>
            </c:dLbl>
            <c:dLbl>
              <c:idx val="13"/>
              <c:layout>
                <c:manualLayout>
                  <c:x val="-3.6611111111111111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1D-4FCF-802C-097EC9AB0304}"/>
                </c:ext>
              </c:extLst>
            </c:dLbl>
            <c:dLbl>
              <c:idx val="14"/>
              <c:layout>
                <c:manualLayout>
                  <c:x val="-3.6626984126984126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1D-4FCF-802C-097EC9AB0304}"/>
                </c:ext>
              </c:extLst>
            </c:dLbl>
            <c:dLbl>
              <c:idx val="15"/>
              <c:layout>
                <c:manualLayout>
                  <c:x val="-3.6634920634920636E-3"/>
                  <c:y val="-3.52422222222232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81D-4FCF-802C-097EC9AB0304}"/>
                </c:ext>
              </c:extLst>
            </c:dLbl>
            <c:dLbl>
              <c:idx val="16"/>
              <c:layout>
                <c:manualLayout>
                  <c:x val="-3.6642857142857141E-3"/>
                  <c:y val="-1.03480286068386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81D-4FCF-802C-097EC9AB0304}"/>
                </c:ext>
              </c:extLst>
            </c:dLbl>
            <c:dLbl>
              <c:idx val="17"/>
              <c:layout>
                <c:manualLayout>
                  <c:x val="-3.6650793650794575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81D-4FCF-802C-097EC9AB0304}"/>
                </c:ext>
              </c:extLst>
            </c:dLbl>
            <c:dLbl>
              <c:idx val="18"/>
              <c:layout>
                <c:manualLayout>
                  <c:x val="-3.6650793650793651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81D-4FCF-802C-097EC9AB0304}"/>
                </c:ext>
              </c:extLst>
            </c:dLbl>
            <c:dLbl>
              <c:idx val="19"/>
              <c:layout>
                <c:manualLayout>
                  <c:x val="-3.6650793650794575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81D-4FCF-802C-097EC9AB0304}"/>
                </c:ext>
              </c:extLst>
            </c:dLbl>
            <c:dLbl>
              <c:idx val="20"/>
              <c:layout>
                <c:manualLayout>
                  <c:x val="-3.6650793650793651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81D-4FCF-802C-097EC9AB0304}"/>
                </c:ext>
              </c:extLst>
            </c:dLbl>
            <c:dLbl>
              <c:idx val="21"/>
              <c:layout>
                <c:manualLayout>
                  <c:x val="-3.665079365079365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81D-4FCF-802C-097EC9AB0304}"/>
                </c:ext>
              </c:extLst>
            </c:dLbl>
            <c:dLbl>
              <c:idx val="22"/>
              <c:layout>
                <c:manualLayout>
                  <c:x val="-3.6650793650793651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81D-4FCF-802C-097EC9AB0304}"/>
                </c:ext>
              </c:extLst>
            </c:dLbl>
            <c:dLbl>
              <c:idx val="23"/>
              <c:layout>
                <c:manualLayout>
                  <c:x val="-3.6650793650794575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81D-4FCF-802C-097EC9AB0304}"/>
                </c:ext>
              </c:extLst>
            </c:dLbl>
            <c:dLbl>
              <c:idx val="24"/>
              <c:layout>
                <c:manualLayout>
                  <c:x val="-3.6650793650793651E-3"/>
                  <c:y val="-2.82222222222227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81D-4FCF-802C-097EC9AB0304}"/>
                </c:ext>
              </c:extLst>
            </c:dLbl>
            <c:dLbl>
              <c:idx val="25"/>
              <c:layout>
                <c:manualLayout>
                  <c:x val="-3.6650793650793651E-3"/>
                  <c:y val="-2.82222222222222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881D-4FCF-802C-097EC9AB0304}"/>
                </c:ext>
              </c:extLst>
            </c:dLbl>
            <c:dLbl>
              <c:idx val="26"/>
              <c:layout>
                <c:manualLayout>
                  <c:x val="-3.6650793650794575E-3"/>
                  <c:y val="-2.82222222222224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881D-4FCF-802C-097EC9AB0304}"/>
                </c:ext>
              </c:extLst>
            </c:dLbl>
            <c:dLbl>
              <c:idx val="27"/>
              <c:layout>
                <c:manualLayout>
                  <c:x val="-2.0387698412698413E-2"/>
                  <c:y val="-3.5077777777780362E-4"/>
                </c:manualLayout>
              </c:layout>
              <c:showLegendKey val="0"/>
              <c:showVal val="1"/>
              <c:showCatName val="0"/>
              <c:showSerName val="0"/>
              <c:showPercent val="0"/>
              <c:showBubbleSize val="0"/>
              <c:extLst>
                <c:ext xmlns:c15="http://schemas.microsoft.com/office/drawing/2012/chart" uri="{CE6537A1-D6FC-4f65-9D91-7224C49458BB}">
                  <c15:layout>
                    <c:manualLayout>
                      <c:w val="0.1082845238095238"/>
                      <c:h val="3.5574666666666657E-2"/>
                    </c:manualLayout>
                  </c15:layout>
                </c:ext>
                <c:ext xmlns:c16="http://schemas.microsoft.com/office/drawing/2014/chart" uri="{C3380CC4-5D6E-409C-BE32-E72D297353CC}">
                  <c16:uniqueId val="{0000001C-881D-4FCF-802C-097EC9AB0304}"/>
                </c:ext>
              </c:extLst>
            </c:dLbl>
            <c:dLbl>
              <c:idx val="28"/>
              <c:layout>
                <c:manualLayout>
                  <c:x val="-8.7047392910410276E-3"/>
                  <c:y val="-2.150059217229068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881D-4FCF-802C-097EC9AB0304}"/>
                </c:ext>
              </c:extLst>
            </c:dLbl>
            <c:dLbl>
              <c:idx val="29"/>
              <c:layout>
                <c:manualLayout>
                  <c:x val="-8.7047392910409513E-3"/>
                  <c:y val="-2.15607686081956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881D-4FCF-802C-097EC9AB0304}"/>
                </c:ext>
              </c:extLst>
            </c:dLbl>
            <c:dLbl>
              <c:idx val="30"/>
              <c:layout>
                <c:manualLayout>
                  <c:x val="-4.5048232893609846E-3"/>
                  <c:y val="-1.0780384304097841E-17"/>
                </c:manualLayout>
              </c:layout>
              <c:numFmt formatCode="#,##0.0" sourceLinked="0"/>
              <c:spPr>
                <a:noFill/>
                <a:ln>
                  <a:noFill/>
                </a:ln>
                <a:effectLst/>
              </c:spPr>
              <c:txPr>
                <a:bodyPr wrap="square" lIns="38100" tIns="19050" rIns="38100" bIns="19050" anchor="ctr">
                  <a:spAutoFit/>
                </a:bodyPr>
                <a:lstStyle/>
                <a:p>
                  <a:pPr>
                    <a:defRPr sz="700" b="0">
                      <a:solidFill>
                        <a:srgbClr val="4D565E"/>
                      </a:solidFill>
                    </a:defRPr>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881D-4FCF-802C-097EC9AB0304}"/>
                </c:ext>
              </c:extLst>
            </c:dLbl>
            <c:dLbl>
              <c:idx val="31"/>
              <c:layout>
                <c:manualLayout>
                  <c:x val="-1.9204363944217179E-2"/>
                  <c:y val="2.3521110196401268E-3"/>
                </c:manualLayout>
              </c:layout>
              <c:numFmt formatCode="#,##0.0" sourceLinked="0"/>
              <c:spPr>
                <a:noFill/>
                <a:ln>
                  <a:noFill/>
                </a:ln>
                <a:effectLst/>
              </c:spPr>
              <c:txPr>
                <a:bodyPr wrap="square" lIns="38100" tIns="19050" rIns="38100" bIns="19050" anchor="ctr">
                  <a:noAutofit/>
                </a:bodyPr>
                <a:lstStyle/>
                <a:p>
                  <a:pPr>
                    <a:defRPr sz="700" b="0">
                      <a:solidFill>
                        <a:srgbClr val="4D565E"/>
                      </a:solidFill>
                    </a:defRPr>
                  </a:pPr>
                  <a:endParaRPr lang="es-MX"/>
                </a:p>
              </c:txPr>
              <c:showLegendKey val="0"/>
              <c:showVal val="1"/>
              <c:showCatName val="0"/>
              <c:showSerName val="0"/>
              <c:showPercent val="0"/>
              <c:showBubbleSize val="0"/>
              <c:extLst>
                <c:ext xmlns:c15="http://schemas.microsoft.com/office/drawing/2012/chart" uri="{CE6537A1-D6FC-4f65-9D91-7224C49458BB}">
                  <c15:layout>
                    <c:manualLayout>
                      <c:w val="8.1583202981609648E-2"/>
                      <c:h val="3.2047605245392782E-2"/>
                    </c:manualLayout>
                  </c15:layout>
                </c:ext>
                <c:ext xmlns:c16="http://schemas.microsoft.com/office/drawing/2014/chart" uri="{C3380CC4-5D6E-409C-BE32-E72D297353CC}">
                  <c16:uniqueId val="{00000020-881D-4FCF-802C-097EC9AB0304}"/>
                </c:ext>
              </c:extLst>
            </c:dLbl>
            <c:dLbl>
              <c:idx val="32"/>
              <c:layout>
                <c:manualLayout>
                  <c:x val="-1.3763488509757518E-2"/>
                  <c:y val="9.2344340224622072E-8"/>
                </c:manualLayout>
              </c:layout>
              <c:numFmt formatCode="#,##0.0" sourceLinked="0"/>
              <c:spPr>
                <a:noFill/>
                <a:ln>
                  <a:noFill/>
                </a:ln>
                <a:effectLst/>
              </c:spPr>
              <c:txPr>
                <a:bodyPr wrap="square" lIns="0" tIns="0" rIns="0" bIns="0" anchor="ctr" anchorCtr="0">
                  <a:no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layout>
                    <c:manualLayout>
                      <c:w val="0.10296110613220806"/>
                      <c:h val="3.3734495616137131E-2"/>
                    </c:manualLayout>
                  </c15:layout>
                </c:ext>
                <c:ext xmlns:c16="http://schemas.microsoft.com/office/drawing/2014/chart" uri="{C3380CC4-5D6E-409C-BE32-E72D297353CC}">
                  <c16:uniqueId val="{00000021-881D-4FCF-802C-097EC9AB0304}"/>
                </c:ext>
              </c:extLst>
            </c:dLbl>
            <c:numFmt formatCode="#,##0.0" sourceLinked="0"/>
            <c:spPr>
              <a:noFill/>
              <a:ln>
                <a:noFill/>
              </a:ln>
              <a:effectLst/>
            </c:spPr>
            <c:txPr>
              <a:bodyPr wrap="square" lIns="38100" tIns="19050" rIns="38100" bIns="19050" anchor="ctr">
                <a:spAutoFit/>
              </a:bodyPr>
              <a:lstStyle/>
              <a:p>
                <a:pPr>
                  <a:defRPr sz="700">
                    <a:solidFill>
                      <a:srgbClr val="4D565E"/>
                    </a:solidFill>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'Variaciones por EF'!$O$6:$O$38</c:f>
              <c:strCache>
                <c:ptCount val="33"/>
                <c:pt idx="0">
                  <c:v>Chiapas</c:v>
                </c:pt>
                <c:pt idx="1">
                  <c:v>Baja California</c:v>
                </c:pt>
                <c:pt idx="2">
                  <c:v>Oaxaca</c:v>
                </c:pt>
                <c:pt idx="3">
                  <c:v>Sinaloa</c:v>
                </c:pt>
                <c:pt idx="4">
                  <c:v>Querétaro</c:v>
                </c:pt>
                <c:pt idx="5">
                  <c:v>Jalisco</c:v>
                </c:pt>
                <c:pt idx="6">
                  <c:v>Sonora</c:v>
                </c:pt>
                <c:pt idx="7">
                  <c:v>San Luis Potosí</c:v>
                </c:pt>
                <c:pt idx="8">
                  <c:v>Morelos</c:v>
                </c:pt>
                <c:pt idx="9">
                  <c:v>Veracruz </c:v>
                </c:pt>
                <c:pt idx="10">
                  <c:v>Zacatecas</c:v>
                </c:pt>
                <c:pt idx="11">
                  <c:v>Colima</c:v>
                </c:pt>
                <c:pt idx="12">
                  <c:v>Tamaulipas</c:v>
                </c:pt>
                <c:pt idx="13">
                  <c:v>Tabasco</c:v>
                </c:pt>
                <c:pt idx="14">
                  <c:v>Chihuahua</c:v>
                </c:pt>
                <c:pt idx="15">
                  <c:v>Guanajuato</c:v>
                </c:pt>
                <c:pt idx="16">
                  <c:v>Durango</c:v>
                </c:pt>
                <c:pt idx="17">
                  <c:v>Nuevo León</c:v>
                </c:pt>
                <c:pt idx="18">
                  <c:v>Campeche</c:v>
                </c:pt>
                <c:pt idx="19">
                  <c:v>Michoacán </c:v>
                </c:pt>
                <c:pt idx="20">
                  <c:v>Nacional</c:v>
                </c:pt>
                <c:pt idx="21">
                  <c:v>México</c:v>
                </c:pt>
                <c:pt idx="22">
                  <c:v>Tlaxcala</c:v>
                </c:pt>
                <c:pt idx="23">
                  <c:v>Hidalgo</c:v>
                </c:pt>
                <c:pt idx="24">
                  <c:v>Nayarit</c:v>
                </c:pt>
                <c:pt idx="25">
                  <c:v>Aguascalientes</c:v>
                </c:pt>
                <c:pt idx="26">
                  <c:v>Coahuila </c:v>
                </c:pt>
                <c:pt idx="27">
                  <c:v>Puebla</c:v>
                </c:pt>
                <c:pt idx="28">
                  <c:v>Ciudad de México</c:v>
                </c:pt>
                <c:pt idx="29">
                  <c:v>Quintana Roo</c:v>
                </c:pt>
                <c:pt idx="30">
                  <c:v>Yucatán</c:v>
                </c:pt>
                <c:pt idx="31">
                  <c:v>Baja California Sur</c:v>
                </c:pt>
                <c:pt idx="32">
                  <c:v>Guerrero</c:v>
                </c:pt>
              </c:strCache>
            </c:strRef>
          </c:cat>
          <c:val>
            <c:numRef>
              <c:f>'Variaciones por EF'!$P$6:$P$38</c:f>
              <c:numCache>
                <c:formatCode>0.0</c:formatCode>
                <c:ptCount val="33"/>
                <c:pt idx="0">
                  <c:v>-1.8585017064016967</c:v>
                </c:pt>
                <c:pt idx="1">
                  <c:v>-0.63270859807300894</c:v>
                </c:pt>
                <c:pt idx="2">
                  <c:v>-0.35672342851825078</c:v>
                </c:pt>
                <c:pt idx="3">
                  <c:v>-0.12254315288950579</c:v>
                </c:pt>
                <c:pt idx="4">
                  <c:v>-4.7839312870806339E-2</c:v>
                </c:pt>
                <c:pt idx="5">
                  <c:v>-4.3104946442326764E-2</c:v>
                </c:pt>
                <c:pt idx="6">
                  <c:v>5.4820286489842829E-3</c:v>
                </c:pt>
                <c:pt idx="7">
                  <c:v>3.1017833874287248E-2</c:v>
                </c:pt>
                <c:pt idx="8">
                  <c:v>0.35558879027075818</c:v>
                </c:pt>
                <c:pt idx="9">
                  <c:v>0.38905442639909893</c:v>
                </c:pt>
                <c:pt idx="10">
                  <c:v>0.58412850194062571</c:v>
                </c:pt>
                <c:pt idx="11">
                  <c:v>0.63096687288182807</c:v>
                </c:pt>
                <c:pt idx="12">
                  <c:v>0.72781750730838723</c:v>
                </c:pt>
                <c:pt idx="13">
                  <c:v>0.74761376543162328</c:v>
                </c:pt>
                <c:pt idx="14">
                  <c:v>0.77516619949204824</c:v>
                </c:pt>
                <c:pt idx="15">
                  <c:v>0.78308992266941857</c:v>
                </c:pt>
                <c:pt idx="16">
                  <c:v>0.87793834208386556</c:v>
                </c:pt>
                <c:pt idx="17">
                  <c:v>1.0670159175426193</c:v>
                </c:pt>
                <c:pt idx="18">
                  <c:v>1.0969251490718506</c:v>
                </c:pt>
                <c:pt idx="19">
                  <c:v>1.1932059093209944</c:v>
                </c:pt>
                <c:pt idx="20">
                  <c:v>1.2999265896423822</c:v>
                </c:pt>
                <c:pt idx="21">
                  <c:v>1.450310603371463</c:v>
                </c:pt>
                <c:pt idx="22">
                  <c:v>1.5492024577725232</c:v>
                </c:pt>
                <c:pt idx="23">
                  <c:v>1.6988800978602399</c:v>
                </c:pt>
                <c:pt idx="24">
                  <c:v>1.9145081248357769</c:v>
                </c:pt>
                <c:pt idx="25">
                  <c:v>2.0859019605031364</c:v>
                </c:pt>
                <c:pt idx="26">
                  <c:v>2.107568453229149</c:v>
                </c:pt>
                <c:pt idx="27">
                  <c:v>2.1760958676648983</c:v>
                </c:pt>
                <c:pt idx="28">
                  <c:v>2.394109621590772</c:v>
                </c:pt>
                <c:pt idx="29">
                  <c:v>2.5640390038330025</c:v>
                </c:pt>
                <c:pt idx="30">
                  <c:v>2.6671534115114213</c:v>
                </c:pt>
                <c:pt idx="31">
                  <c:v>3.1691800328348165</c:v>
                </c:pt>
                <c:pt idx="32">
                  <c:v>8.7600365943829956</c:v>
                </c:pt>
              </c:numCache>
            </c:numRef>
          </c:val>
          <c:extLst>
            <c:ext xmlns:c16="http://schemas.microsoft.com/office/drawing/2014/chart" uri="{C3380CC4-5D6E-409C-BE32-E72D297353CC}">
              <c16:uniqueId val="{00000022-881D-4FCF-802C-097EC9AB0304}"/>
            </c:ext>
          </c:extLst>
        </c:ser>
        <c:dLbls>
          <c:showLegendKey val="0"/>
          <c:showVal val="0"/>
          <c:showCatName val="0"/>
          <c:showSerName val="0"/>
          <c:showPercent val="0"/>
          <c:showBubbleSize val="0"/>
        </c:dLbls>
        <c:gapWidth val="20"/>
        <c:axId val="499233088"/>
        <c:axId val="499244848"/>
      </c:barChart>
      <c:catAx>
        <c:axId val="499233088"/>
        <c:scaling>
          <c:orientation val="minMax"/>
        </c:scaling>
        <c:delete val="0"/>
        <c:axPos val="l"/>
        <c:numFmt formatCode="General" sourceLinked="0"/>
        <c:majorTickMark val="cross"/>
        <c:minorTickMark val="none"/>
        <c:tickLblPos val="low"/>
        <c:spPr>
          <a:ln w="6350">
            <a:solidFill>
              <a:srgbClr val="C0C0C0"/>
            </a:solidFill>
          </a:ln>
        </c:spPr>
        <c:txPr>
          <a:bodyPr/>
          <a:lstStyle/>
          <a:p>
            <a:pPr>
              <a:defRPr sz="700">
                <a:solidFill>
                  <a:srgbClr val="4D565E"/>
                </a:solidFill>
              </a:defRPr>
            </a:pPr>
            <a:endParaRPr lang="es-MX"/>
          </a:p>
        </c:txPr>
        <c:crossAx val="499244848"/>
        <c:crosses val="autoZero"/>
        <c:auto val="1"/>
        <c:lblAlgn val="ctr"/>
        <c:lblOffset val="100"/>
        <c:noMultiLvlLbl val="0"/>
      </c:catAx>
      <c:valAx>
        <c:axId val="499244848"/>
        <c:scaling>
          <c:orientation val="minMax"/>
          <c:max val="10"/>
          <c:min val="-4"/>
        </c:scaling>
        <c:delete val="0"/>
        <c:axPos val="b"/>
        <c:numFmt formatCode="#,##0.0" sourceLinked="0"/>
        <c:majorTickMark val="out"/>
        <c:minorTickMark val="none"/>
        <c:tickLblPos val="nextTo"/>
        <c:spPr>
          <a:ln w="9525">
            <a:solidFill>
              <a:srgbClr val="D8551E"/>
            </a:solidFill>
          </a:ln>
        </c:spPr>
        <c:txPr>
          <a:bodyPr/>
          <a:lstStyle/>
          <a:p>
            <a:pPr>
              <a:defRPr sz="700">
                <a:solidFill>
                  <a:srgbClr val="4D565E"/>
                </a:solidFill>
              </a:defRPr>
            </a:pPr>
            <a:endParaRPr lang="es-MX"/>
          </a:p>
        </c:txPr>
        <c:crossAx val="499233088"/>
        <c:crosses val="autoZero"/>
        <c:crossBetween val="between"/>
        <c:majorUnit val="4"/>
      </c:valAx>
      <c:spPr>
        <a:noFill/>
        <a:ln>
          <a:noFill/>
        </a:ln>
      </c:spPr>
    </c:plotArea>
    <c:plotVisOnly val="1"/>
    <c:dispBlanksAs val="gap"/>
    <c:showDLblsOverMax val="0"/>
  </c:chart>
  <c:spPr>
    <a:noFill/>
    <a:ln w="6350">
      <a:solidFill>
        <a:srgbClr val="C0C0C0"/>
      </a:solidFill>
    </a:ln>
    <a:effectLst/>
  </c:spPr>
  <c:txPr>
    <a:bodyPr/>
    <a:lstStyle/>
    <a:p>
      <a:pPr>
        <a:defRPr sz="750">
          <a:latin typeface="Arial" panose="020B0604020202020204" pitchFamily="34" charset="0"/>
          <a:cs typeface="Arial" panose="020B0604020202020204" pitchFamily="34" charset="0"/>
        </a:defRPr>
      </a:pPr>
      <a:endParaRPr lang="es-MX"/>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7548108880342079"/>
          <c:y val="2.2274222222222223E-2"/>
          <c:w val="0.56253873347729899"/>
          <c:h val="0.93805666666666665"/>
        </c:manualLayout>
      </c:layout>
      <c:barChart>
        <c:barDir val="bar"/>
        <c:grouping val="clustered"/>
        <c:varyColors val="0"/>
        <c:ser>
          <c:idx val="0"/>
          <c:order val="0"/>
          <c:spPr>
            <a:solidFill>
              <a:srgbClr val="08989C"/>
            </a:solidFill>
            <a:ln>
              <a:noFill/>
            </a:ln>
          </c:spPr>
          <c:invertIfNegative val="0"/>
          <c:dLbls>
            <c:dLbl>
              <c:idx val="0"/>
              <c:numFmt formatCode="#,##0.00" sourceLinked="0"/>
              <c:spPr>
                <a:noFill/>
                <a:ln>
                  <a:noFill/>
                </a:ln>
                <a:effectLst/>
              </c:spPr>
              <c:txPr>
                <a:bodyPr rot="0" lIns="0" tIns="0" rIns="0" bIns="0" anchorCtr="0"/>
                <a:lstStyle/>
                <a:p>
                  <a:pPr algn="r">
                    <a:defRPr sz="700">
                      <a:solidFill>
                        <a:srgbClr val="4D565E"/>
                      </a:solidFill>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8.8597393406462582E-2"/>
                      <c:h val="2.2639161166832275E-2"/>
                    </c:manualLayout>
                  </c15:layout>
                </c:ext>
                <c:ext xmlns:c16="http://schemas.microsoft.com/office/drawing/2014/chart" uri="{C3380CC4-5D6E-409C-BE32-E72D297353CC}">
                  <c16:uniqueId val="{00000000-64C9-43AE-89AD-46CED8A25034}"/>
                </c:ext>
              </c:extLst>
            </c:dLbl>
            <c:dLbl>
              <c:idx val="3"/>
              <c:layout>
                <c:manualLayout>
                  <c:x val="-9.659806803863922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C9-43AE-89AD-46CED8A25034}"/>
                </c:ext>
              </c:extLst>
            </c:dLbl>
            <c:dLbl>
              <c:idx val="4"/>
              <c:layout>
                <c:manualLayout>
                  <c:x val="-0.10079732263622444"/>
                  <c:y val="-1.724861488655654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C9-43AE-89AD-46CED8A25034}"/>
                </c:ext>
              </c:extLst>
            </c:dLbl>
            <c:dLbl>
              <c:idx val="5"/>
              <c:layout>
                <c:manualLayout>
                  <c:x val="-0.11843630843918555"/>
                  <c:y val="2.3522036224361757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0386327561327562"/>
                      <c:h val="2.7824120324120325E-2"/>
                    </c:manualLayout>
                  </c15:layout>
                </c:ext>
                <c:ext xmlns:c16="http://schemas.microsoft.com/office/drawing/2014/chart" uri="{C3380CC4-5D6E-409C-BE32-E72D297353CC}">
                  <c16:uniqueId val="{00000003-64C9-43AE-89AD-46CED8A25034}"/>
                </c:ext>
              </c:extLst>
            </c:dLbl>
            <c:dLbl>
              <c:idx val="6"/>
              <c:layout>
                <c:manualLayout>
                  <c:x val="3.9682539682539683E-7"/>
                  <c:y val="2.822222222222118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4C9-43AE-89AD-46CED8A25034}"/>
                </c:ext>
              </c:extLst>
            </c:dLbl>
            <c:dLbl>
              <c:idx val="15"/>
              <c:layout>
                <c:manualLayout>
                  <c:x val="4.199916001679889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4C9-43AE-89AD-46CED8A25034}"/>
                </c:ext>
              </c:extLst>
            </c:dLbl>
            <c:dLbl>
              <c:idx val="16"/>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4C9-43AE-89AD-46CED8A25034}"/>
                </c:ext>
              </c:extLst>
            </c:dLbl>
            <c:dLbl>
              <c:idx val="24"/>
              <c:layout>
                <c:manualLayout>
                  <c:x val="0"/>
                  <c:y val="-2.58700715170966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4C9-43AE-89AD-46CED8A25034}"/>
                </c:ext>
              </c:extLst>
            </c:dLbl>
            <c:dLbl>
              <c:idx val="28"/>
              <c:layout>
                <c:manualLayout>
                  <c:x val="-8.3965249828861694E-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4C9-43AE-89AD-46CED8A25034}"/>
                </c:ext>
              </c:extLst>
            </c:dLbl>
            <c:dLbl>
              <c:idx val="29"/>
              <c:layout>
                <c:manualLayout>
                  <c:x val="-8.396524982887709E-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4C9-43AE-89AD-46CED8A25034}"/>
                </c:ext>
              </c:extLst>
            </c:dLbl>
            <c:dLbl>
              <c:idx val="30"/>
              <c:layout>
                <c:manualLayout>
                  <c:x val="-4.4605918905243944E-2"/>
                  <c:y val="1.1760555098200634E-3"/>
                </c:manualLayout>
              </c:layout>
              <c:numFmt formatCode="#,##0.00" sourceLinked="0"/>
              <c:spPr>
                <a:noFill/>
                <a:ln>
                  <a:noFill/>
                </a:ln>
                <a:effectLst/>
              </c:spPr>
              <c:txPr>
                <a:bodyPr rot="0" lIns="0" tIns="0" rIns="0" bIns="0" anchorCtr="0"/>
                <a:lstStyle/>
                <a:p>
                  <a:pPr algn="r">
                    <a:defRPr sz="700">
                      <a:solidFill>
                        <a:srgbClr val="4D565E"/>
                      </a:solidFill>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209605571668094"/>
                      <c:h val="2.8294413921533947E-2"/>
                    </c:manualLayout>
                  </c15:layout>
                </c:ext>
                <c:ext xmlns:c16="http://schemas.microsoft.com/office/drawing/2014/chart" uri="{C3380CC4-5D6E-409C-BE32-E72D297353CC}">
                  <c16:uniqueId val="{0000000A-64C9-43AE-89AD-46CED8A25034}"/>
                </c:ext>
              </c:extLst>
            </c:dLbl>
            <c:dLbl>
              <c:idx val="31"/>
              <c:layout>
                <c:manualLayout>
                  <c:x val="-3.619418162817846E-2"/>
                  <c:y val="-2.3521110196401268E-3"/>
                </c:manualLayout>
              </c:layout>
              <c:tx>
                <c:rich>
                  <a:bodyPr rot="0" lIns="0" tIns="0" rIns="0" bIns="0" anchorCtr="0"/>
                  <a:lstStyle/>
                  <a:p>
                    <a:pPr algn="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r>
                      <a:rPr lang="en-US" sz="700" b="0" i="0" u="none" strike="noStrike" kern="1200" baseline="0">
                        <a:solidFill>
                          <a:srgbClr val="4D565E"/>
                        </a:solidFill>
                        <a:latin typeface="Arial" panose="020B0604020202020204" pitchFamily="34" charset="0"/>
                        <a:ea typeface="+mn-ea"/>
                        <a:cs typeface="Arial" panose="020B0604020202020204" pitchFamily="34" charset="0"/>
                      </a:rPr>
                      <a:t>0.52</a:t>
                    </a:r>
                  </a:p>
                </c:rich>
              </c:tx>
              <c:numFmt formatCode="#,##0.00"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0.10749701541402241"/>
                      <c:h val="2.7343383206112525E-2"/>
                    </c:manualLayout>
                  </c15:layout>
                  <c15:showDataLabelsRange val="0"/>
                </c:ext>
                <c:ext xmlns:c16="http://schemas.microsoft.com/office/drawing/2014/chart" uri="{C3380CC4-5D6E-409C-BE32-E72D297353CC}">
                  <c16:uniqueId val="{0000000B-64C9-43AE-89AD-46CED8A25034}"/>
                </c:ext>
              </c:extLst>
            </c:dLbl>
            <c:numFmt formatCode="#,##0.00" sourceLinked="0"/>
            <c:spPr>
              <a:noFill/>
              <a:ln>
                <a:noFill/>
              </a:ln>
              <a:effectLst/>
            </c:spPr>
            <c:txPr>
              <a:bodyPr rot="0" lIns="0" tIns="0" rIns="0" bIns="0"/>
              <a:lstStyle/>
              <a:p>
                <a:pPr>
                  <a:defRPr sz="700">
                    <a:solidFill>
                      <a:srgbClr val="4D565E"/>
                    </a:solidFill>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Contribuciones!$J$7:$J$38</c:f>
              <c:strCache>
                <c:ptCount val="32"/>
                <c:pt idx="0">
                  <c:v>Chiapas</c:v>
                </c:pt>
                <c:pt idx="1">
                  <c:v>Baja California</c:v>
                </c:pt>
                <c:pt idx="2">
                  <c:v>Oaxaca</c:v>
                </c:pt>
                <c:pt idx="3">
                  <c:v>Jalisco</c:v>
                </c:pt>
                <c:pt idx="4">
                  <c:v>Sinaloa</c:v>
                </c:pt>
                <c:pt idx="5">
                  <c:v>Querétaro</c:v>
                </c:pt>
                <c:pt idx="6">
                  <c:v>Sonora</c:v>
                </c:pt>
                <c:pt idx="7">
                  <c:v>San Luis Potosí</c:v>
                </c:pt>
                <c:pt idx="8">
                  <c:v>Morelos</c:v>
                </c:pt>
                <c:pt idx="9">
                  <c:v>Zacatecas</c:v>
                </c:pt>
                <c:pt idx="10">
                  <c:v>Colima</c:v>
                </c:pt>
                <c:pt idx="11">
                  <c:v>Campeche</c:v>
                </c:pt>
                <c:pt idx="12">
                  <c:v>Tlaxcala</c:v>
                </c:pt>
                <c:pt idx="13">
                  <c:v>Durango</c:v>
                </c:pt>
                <c:pt idx="14">
                  <c:v>Tabasco</c:v>
                </c:pt>
                <c:pt idx="15">
                  <c:v>Nayarit</c:v>
                </c:pt>
                <c:pt idx="16">
                  <c:v>Veracruz </c:v>
                </c:pt>
                <c:pt idx="17">
                  <c:v>Tamaulipas</c:v>
                </c:pt>
                <c:pt idx="18">
                  <c:v>Aguascalientes</c:v>
                </c:pt>
                <c:pt idx="19">
                  <c:v>Chihuahua</c:v>
                </c:pt>
                <c:pt idx="20">
                  <c:v>Hidalgo</c:v>
                </c:pt>
                <c:pt idx="21">
                  <c:v>Baja California Sur</c:v>
                </c:pt>
                <c:pt idx="22">
                  <c:v>Guanajuato</c:v>
                </c:pt>
                <c:pt idx="23">
                  <c:v>Michoacán</c:v>
                </c:pt>
                <c:pt idx="24">
                  <c:v>Yucatán</c:v>
                </c:pt>
                <c:pt idx="25">
                  <c:v>Quintana Roo</c:v>
                </c:pt>
                <c:pt idx="26">
                  <c:v>Coahuila </c:v>
                </c:pt>
                <c:pt idx="27">
                  <c:v>Puebla</c:v>
                </c:pt>
                <c:pt idx="28">
                  <c:v>Nuevo León</c:v>
                </c:pt>
                <c:pt idx="29">
                  <c:v>Guerrero</c:v>
                </c:pt>
                <c:pt idx="30">
                  <c:v>México</c:v>
                </c:pt>
                <c:pt idx="31">
                  <c:v>Ciudad de México</c:v>
                </c:pt>
              </c:strCache>
            </c:strRef>
          </c:cat>
          <c:val>
            <c:numRef>
              <c:f>Contribuciones!$K$7:$K$38</c:f>
              <c:numCache>
                <c:formatCode>#,##0.00</c:formatCode>
                <c:ptCount val="32"/>
                <c:pt idx="0">
                  <c:v>-3.5377189363130897E-2</c:v>
                </c:pt>
                <c:pt idx="1">
                  <c:v>-1.916677639899814E-2</c:v>
                </c:pt>
                <c:pt idx="2">
                  <c:v>-6.19758443967684E-3</c:v>
                </c:pt>
                <c:pt idx="3">
                  <c:v>-3.1731180434094878E-3</c:v>
                </c:pt>
                <c:pt idx="4">
                  <c:v>-2.8878131080194614E-3</c:v>
                </c:pt>
                <c:pt idx="5">
                  <c:v>-1.0037051878297599E-3</c:v>
                </c:pt>
                <c:pt idx="6">
                  <c:v>1.2776115462122302E-4</c:v>
                </c:pt>
                <c:pt idx="7">
                  <c:v>5.2303329553093512E-4</c:v>
                </c:pt>
                <c:pt idx="8">
                  <c:v>4.0638348446448381E-3</c:v>
                </c:pt>
                <c:pt idx="9">
                  <c:v>4.5231764243875445E-3</c:v>
                </c:pt>
                <c:pt idx="10">
                  <c:v>4.6354203298908771E-3</c:v>
                </c:pt>
                <c:pt idx="11">
                  <c:v>6.9048916367229147E-3</c:v>
                </c:pt>
                <c:pt idx="12">
                  <c:v>8.8201974815731946E-3</c:v>
                </c:pt>
                <c:pt idx="13">
                  <c:v>9.298785567824281E-3</c:v>
                </c:pt>
                <c:pt idx="14">
                  <c:v>1.0778521527526995E-2</c:v>
                </c:pt>
                <c:pt idx="15">
                  <c:v>1.4730998088421463E-2</c:v>
                </c:pt>
                <c:pt idx="16">
                  <c:v>1.7187885744737334E-2</c:v>
                </c:pt>
                <c:pt idx="17">
                  <c:v>1.8991614954500694E-2</c:v>
                </c:pt>
                <c:pt idx="18">
                  <c:v>2.1732295966981788E-2</c:v>
                </c:pt>
                <c:pt idx="19">
                  <c:v>2.1734646398186484E-2</c:v>
                </c:pt>
                <c:pt idx="20">
                  <c:v>2.7531891817262351E-2</c:v>
                </c:pt>
                <c:pt idx="21">
                  <c:v>2.8864365568386008E-2</c:v>
                </c:pt>
                <c:pt idx="22">
                  <c:v>3.1374578370655042E-2</c:v>
                </c:pt>
                <c:pt idx="23">
                  <c:v>3.5048893788027606E-2</c:v>
                </c:pt>
                <c:pt idx="24">
                  <c:v>4.7203652342100146E-2</c:v>
                </c:pt>
                <c:pt idx="25">
                  <c:v>4.8021192107213562E-2</c:v>
                </c:pt>
                <c:pt idx="26">
                  <c:v>5.0177075578197096E-2</c:v>
                </c:pt>
                <c:pt idx="27">
                  <c:v>7.2546753099675218E-2</c:v>
                </c:pt>
                <c:pt idx="28">
                  <c:v>7.7370656356149675E-2</c:v>
                </c:pt>
                <c:pt idx="29">
                  <c:v>0.1382989766958157</c:v>
                </c:pt>
                <c:pt idx="30">
                  <c:v>0.14607113303101618</c:v>
                </c:pt>
                <c:pt idx="31">
                  <c:v>0.52117054401337337</c:v>
                </c:pt>
              </c:numCache>
            </c:numRef>
          </c:val>
          <c:extLst>
            <c:ext xmlns:c16="http://schemas.microsoft.com/office/drawing/2014/chart" uri="{C3380CC4-5D6E-409C-BE32-E72D297353CC}">
              <c16:uniqueId val="{0000000C-64C9-43AE-89AD-46CED8A25034}"/>
            </c:ext>
          </c:extLst>
        </c:ser>
        <c:dLbls>
          <c:showLegendKey val="0"/>
          <c:showVal val="0"/>
          <c:showCatName val="0"/>
          <c:showSerName val="0"/>
          <c:showPercent val="0"/>
          <c:showBubbleSize val="0"/>
        </c:dLbls>
        <c:gapWidth val="20"/>
        <c:axId val="417157528"/>
        <c:axId val="417157920"/>
      </c:barChart>
      <c:catAx>
        <c:axId val="417157528"/>
        <c:scaling>
          <c:orientation val="minMax"/>
        </c:scaling>
        <c:delete val="0"/>
        <c:axPos val="l"/>
        <c:numFmt formatCode="General" sourceLinked="0"/>
        <c:majorTickMark val="cross"/>
        <c:minorTickMark val="none"/>
        <c:tickLblPos val="low"/>
        <c:spPr>
          <a:ln w="6350">
            <a:solidFill>
              <a:srgbClr val="C0C0C0"/>
            </a:solidFill>
          </a:ln>
        </c:spPr>
        <c:txPr>
          <a:bodyPr/>
          <a:lstStyle/>
          <a:p>
            <a:pPr>
              <a:defRPr sz="700">
                <a:solidFill>
                  <a:srgbClr val="4D565E"/>
                </a:solidFill>
              </a:defRPr>
            </a:pPr>
            <a:endParaRPr lang="es-MX"/>
          </a:p>
        </c:txPr>
        <c:crossAx val="417157920"/>
        <c:crosses val="autoZero"/>
        <c:auto val="1"/>
        <c:lblAlgn val="ctr"/>
        <c:lblOffset val="100"/>
        <c:noMultiLvlLbl val="0"/>
      </c:catAx>
      <c:valAx>
        <c:axId val="417157920"/>
        <c:scaling>
          <c:orientation val="minMax"/>
          <c:max val="0.60000000000000009"/>
          <c:min val="-0.2"/>
        </c:scaling>
        <c:delete val="0"/>
        <c:axPos val="b"/>
        <c:numFmt formatCode="#,##0.00" sourceLinked="0"/>
        <c:majorTickMark val="out"/>
        <c:minorTickMark val="none"/>
        <c:tickLblPos val="nextTo"/>
        <c:spPr>
          <a:ln w="9525">
            <a:solidFill>
              <a:srgbClr val="D8551E"/>
            </a:solidFill>
          </a:ln>
        </c:spPr>
        <c:txPr>
          <a:bodyPr/>
          <a:lstStyle/>
          <a:p>
            <a:pPr>
              <a:defRPr sz="700">
                <a:solidFill>
                  <a:srgbClr val="4D565E"/>
                </a:solidFill>
              </a:defRPr>
            </a:pPr>
            <a:endParaRPr lang="es-MX"/>
          </a:p>
        </c:txPr>
        <c:crossAx val="417157528"/>
        <c:crosses val="autoZero"/>
        <c:crossBetween val="between"/>
        <c:majorUnit val="0.2"/>
        <c:minorUnit val="0.1"/>
      </c:valAx>
      <c:spPr>
        <a:noFill/>
        <a:ln>
          <a:noFill/>
        </a:ln>
      </c:spPr>
    </c:plotArea>
    <c:plotVisOnly val="1"/>
    <c:dispBlanksAs val="gap"/>
    <c:showDLblsOverMax val="0"/>
  </c:chart>
  <c:spPr>
    <a:noFill/>
    <a:ln w="6350">
      <a:solidFill>
        <a:srgbClr val="C0C0C0"/>
      </a:solidFill>
    </a:ln>
    <a:effectLst/>
  </c:spPr>
  <c:txPr>
    <a:bodyPr/>
    <a:lstStyle/>
    <a:p>
      <a:pPr>
        <a:defRPr sz="750">
          <a:latin typeface="Arial" panose="020B0604020202020204" pitchFamily="34" charset="0"/>
          <a:cs typeface="Arial" panose="020B0604020202020204" pitchFamily="34" charset="0"/>
        </a:defRPr>
      </a:pPr>
      <a:endParaRPr lang="es-MX"/>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700317460317458"/>
          <c:y val="1.9088888888888891E-2"/>
          <c:w val="0.55954329004329006"/>
          <c:h val="0.95115832207437667"/>
        </c:manualLayout>
      </c:layout>
      <c:barChart>
        <c:barDir val="bar"/>
        <c:grouping val="clustered"/>
        <c:varyColors val="0"/>
        <c:ser>
          <c:idx val="0"/>
          <c:order val="0"/>
          <c:tx>
            <c:v>Primarias</c:v>
          </c:tx>
          <c:spPr>
            <a:solidFill>
              <a:srgbClr val="08989C"/>
            </a:solidFill>
            <a:ln w="0">
              <a:noFill/>
            </a:ln>
            <a:effectLst/>
          </c:spPr>
          <c:invertIfNegative val="0"/>
          <c:dPt>
            <c:idx val="10"/>
            <c:invertIfNegative val="0"/>
            <c:bubble3D val="0"/>
            <c:extLst>
              <c:ext xmlns:c16="http://schemas.microsoft.com/office/drawing/2014/chart" uri="{C3380CC4-5D6E-409C-BE32-E72D297353CC}">
                <c16:uniqueId val="{00000000-324A-4CB6-B739-02AB171559D6}"/>
              </c:ext>
            </c:extLst>
          </c:dPt>
          <c:dPt>
            <c:idx val="11"/>
            <c:invertIfNegative val="0"/>
            <c:bubble3D val="0"/>
            <c:extLst>
              <c:ext xmlns:c16="http://schemas.microsoft.com/office/drawing/2014/chart" uri="{C3380CC4-5D6E-409C-BE32-E72D297353CC}">
                <c16:uniqueId val="{00000001-324A-4CB6-B739-02AB171559D6}"/>
              </c:ext>
            </c:extLst>
          </c:dPt>
          <c:dPt>
            <c:idx val="13"/>
            <c:invertIfNegative val="0"/>
            <c:bubble3D val="0"/>
            <c:extLst>
              <c:ext xmlns:c16="http://schemas.microsoft.com/office/drawing/2014/chart" uri="{C3380CC4-5D6E-409C-BE32-E72D297353CC}">
                <c16:uniqueId val="{00000002-324A-4CB6-B739-02AB171559D6}"/>
              </c:ext>
            </c:extLst>
          </c:dPt>
          <c:dPt>
            <c:idx val="14"/>
            <c:invertIfNegative val="0"/>
            <c:bubble3D val="0"/>
            <c:extLst>
              <c:ext xmlns:c16="http://schemas.microsoft.com/office/drawing/2014/chart" uri="{C3380CC4-5D6E-409C-BE32-E72D297353CC}">
                <c16:uniqueId val="{00000003-324A-4CB6-B739-02AB171559D6}"/>
              </c:ext>
            </c:extLst>
          </c:dPt>
          <c:dPt>
            <c:idx val="15"/>
            <c:invertIfNegative val="0"/>
            <c:bubble3D val="0"/>
            <c:extLst>
              <c:ext xmlns:c16="http://schemas.microsoft.com/office/drawing/2014/chart" uri="{C3380CC4-5D6E-409C-BE32-E72D297353CC}">
                <c16:uniqueId val="{00000004-324A-4CB6-B739-02AB171559D6}"/>
              </c:ext>
            </c:extLst>
          </c:dPt>
          <c:dPt>
            <c:idx val="16"/>
            <c:invertIfNegative val="0"/>
            <c:bubble3D val="0"/>
            <c:extLst>
              <c:ext xmlns:c16="http://schemas.microsoft.com/office/drawing/2014/chart" uri="{C3380CC4-5D6E-409C-BE32-E72D297353CC}">
                <c16:uniqueId val="{00000005-324A-4CB6-B739-02AB171559D6}"/>
              </c:ext>
            </c:extLst>
          </c:dPt>
          <c:dPt>
            <c:idx val="17"/>
            <c:invertIfNegative val="0"/>
            <c:bubble3D val="0"/>
            <c:spPr>
              <a:solidFill>
                <a:srgbClr val="C0C0C0"/>
              </a:solidFill>
              <a:ln w="0">
                <a:noFill/>
              </a:ln>
              <a:effectLst/>
            </c:spPr>
            <c:extLst>
              <c:ext xmlns:c16="http://schemas.microsoft.com/office/drawing/2014/chart" uri="{C3380CC4-5D6E-409C-BE32-E72D297353CC}">
                <c16:uniqueId val="{00000007-324A-4CB6-B739-02AB171559D6}"/>
              </c:ext>
            </c:extLst>
          </c:dPt>
          <c:dPt>
            <c:idx val="18"/>
            <c:invertIfNegative val="0"/>
            <c:bubble3D val="0"/>
            <c:extLst>
              <c:ext xmlns:c16="http://schemas.microsoft.com/office/drawing/2014/chart" uri="{C3380CC4-5D6E-409C-BE32-E72D297353CC}">
                <c16:uniqueId val="{00000008-324A-4CB6-B739-02AB171559D6}"/>
              </c:ext>
            </c:extLst>
          </c:dPt>
          <c:dPt>
            <c:idx val="19"/>
            <c:invertIfNegative val="0"/>
            <c:bubble3D val="0"/>
            <c:extLst>
              <c:ext xmlns:c16="http://schemas.microsoft.com/office/drawing/2014/chart" uri="{C3380CC4-5D6E-409C-BE32-E72D297353CC}">
                <c16:uniqueId val="{00000009-324A-4CB6-B739-02AB171559D6}"/>
              </c:ext>
            </c:extLst>
          </c:dPt>
          <c:dPt>
            <c:idx val="20"/>
            <c:invertIfNegative val="0"/>
            <c:bubble3D val="0"/>
            <c:extLst>
              <c:ext xmlns:c16="http://schemas.microsoft.com/office/drawing/2014/chart" uri="{C3380CC4-5D6E-409C-BE32-E72D297353CC}">
                <c16:uniqueId val="{0000000A-324A-4CB6-B739-02AB171559D6}"/>
              </c:ext>
            </c:extLst>
          </c:dPt>
          <c:dPt>
            <c:idx val="23"/>
            <c:invertIfNegative val="0"/>
            <c:bubble3D val="0"/>
            <c:extLst>
              <c:ext xmlns:c16="http://schemas.microsoft.com/office/drawing/2014/chart" uri="{C3380CC4-5D6E-409C-BE32-E72D297353CC}">
                <c16:uniqueId val="{0000000B-324A-4CB6-B739-02AB171559D6}"/>
              </c:ext>
            </c:extLst>
          </c:dPt>
          <c:dLbls>
            <c:dLbl>
              <c:idx val="0"/>
              <c:layout>
                <c:manualLayout>
                  <c:x val="-1.6673997228716844E-2"/>
                  <c:y val="-2.3455462417054005E-3"/>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C-324A-4CB6-B739-02AB171559D6}"/>
                </c:ext>
              </c:extLst>
            </c:dLbl>
            <c:dLbl>
              <c:idx val="1"/>
              <c:layout>
                <c:manualLayout>
                  <c:x val="-1.2446632957104638E-2"/>
                  <c:y val="0"/>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D-324A-4CB6-B739-02AB171559D6}"/>
                </c:ext>
              </c:extLst>
            </c:dLbl>
            <c:dLbl>
              <c:idx val="2"/>
              <c:layout>
                <c:manualLayout>
                  <c:x val="6.1510580812013506E-4"/>
                  <c:y val="-6.9535288189140419E-4"/>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E-324A-4CB6-B739-02AB171559D6}"/>
                </c:ext>
              </c:extLst>
            </c:dLbl>
            <c:dLbl>
              <c:idx val="3"/>
              <c:layout>
                <c:manualLayout>
                  <c:x val="3.978345629937795E-3"/>
                  <c:y val="-3.0475479160929774E-3"/>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F-324A-4CB6-B739-02AB171559D6}"/>
                </c:ext>
              </c:extLst>
            </c:dLbl>
            <c:dLbl>
              <c:idx val="4"/>
              <c:layout>
                <c:manualLayout>
                  <c:x val="-3.1984126984126982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24A-4CB6-B739-02AB171559D6}"/>
                </c:ext>
              </c:extLst>
            </c:dLbl>
            <c:dLbl>
              <c:idx val="5"/>
              <c:layout>
                <c:manualLayout>
                  <c:x val="-3.2000000000000002E-3"/>
                  <c:y val="-7.020000000001034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24A-4CB6-B739-02AB171559D6}"/>
                </c:ext>
              </c:extLst>
            </c:dLbl>
            <c:dLbl>
              <c:idx val="6"/>
              <c:layout>
                <c:manualLayout>
                  <c:x val="-3.2007936507936507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24A-4CB6-B739-02AB171559D6}"/>
                </c:ext>
              </c:extLst>
            </c:dLbl>
            <c:dLbl>
              <c:idx val="7"/>
              <c:layout>
                <c:manualLayout>
                  <c:x val="-1.8496992264879112E-2"/>
                  <c:y val="2.324307043452877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24A-4CB6-B739-02AB171559D6}"/>
                </c:ext>
              </c:extLst>
            </c:dLbl>
            <c:dLbl>
              <c:idx val="8"/>
              <c:layout>
                <c:manualLayout>
                  <c:x val="2.2719230654756986E-3"/>
                  <c:y val="-7.019291940499989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24A-4CB6-B739-02AB171559D6}"/>
                </c:ext>
              </c:extLst>
            </c:dLbl>
            <c:dLbl>
              <c:idx val="9"/>
              <c:layout>
                <c:manualLayout>
                  <c:x val="-1.0761375323674629E-2"/>
                  <c:y val="-7.019291940500851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24A-4CB6-B739-02AB171559D6}"/>
                </c:ext>
              </c:extLst>
            </c:dLbl>
            <c:dLbl>
              <c:idx val="10"/>
              <c:layout>
                <c:manualLayout>
                  <c:x val="-1.7479587416125694E-2"/>
                  <c:y val="2.12004841274177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4A-4CB6-B739-02AB171559D6}"/>
                </c:ext>
              </c:extLst>
            </c:dLbl>
            <c:dLbl>
              <c:idx val="11"/>
              <c:layout>
                <c:manualLayout>
                  <c:x val="-3.2521239338992747E-3"/>
                  <c:y val="1.64354456731773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4A-4CB6-B739-02AB171559D6}"/>
                </c:ext>
              </c:extLst>
            </c:dLbl>
            <c:dLbl>
              <c:idx val="12"/>
              <c:layout>
                <c:manualLayout>
                  <c:x val="-3.6611111111112035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24A-4CB6-B739-02AB171559D6}"/>
                </c:ext>
              </c:extLst>
            </c:dLbl>
            <c:dLbl>
              <c:idx val="13"/>
              <c:layout>
                <c:manualLayout>
                  <c:x val="-3.6611111111111111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4A-4CB6-B739-02AB171559D6}"/>
                </c:ext>
              </c:extLst>
            </c:dLbl>
            <c:dLbl>
              <c:idx val="14"/>
              <c:layout>
                <c:manualLayout>
                  <c:x val="-3.6626984126984126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4A-4CB6-B739-02AB171559D6}"/>
                </c:ext>
              </c:extLst>
            </c:dLbl>
            <c:dLbl>
              <c:idx val="15"/>
              <c:layout>
                <c:manualLayout>
                  <c:x val="5.3639872084448078E-4"/>
                  <c:y val="-3.52422940033256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24A-4CB6-B739-02AB171559D6}"/>
                </c:ext>
              </c:extLst>
            </c:dLbl>
            <c:dLbl>
              <c:idx val="16"/>
              <c:layout>
                <c:manualLayout>
                  <c:x val="5.3573731674972801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24A-4CB6-B739-02AB171559D6}"/>
                </c:ext>
              </c:extLst>
            </c:dLbl>
            <c:dLbl>
              <c:idx val="17"/>
              <c:layout>
                <c:manualLayout>
                  <c:x val="-3.6650793650794575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24A-4CB6-B739-02AB171559D6}"/>
                </c:ext>
              </c:extLst>
            </c:dLbl>
            <c:dLbl>
              <c:idx val="18"/>
              <c:layout>
                <c:manualLayout>
                  <c:x val="-3.6650793650793651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24A-4CB6-B739-02AB171559D6}"/>
                </c:ext>
              </c:extLst>
            </c:dLbl>
            <c:dLbl>
              <c:idx val="19"/>
              <c:layout>
                <c:manualLayout>
                  <c:x val="5.3474521060759884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24A-4CB6-B739-02AB171559D6}"/>
                </c:ext>
              </c:extLst>
            </c:dLbl>
            <c:dLbl>
              <c:idx val="20"/>
              <c:layout>
                <c:manualLayout>
                  <c:x val="5.3474521060759884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24A-4CB6-B739-02AB171559D6}"/>
                </c:ext>
              </c:extLst>
            </c:dLbl>
            <c:dLbl>
              <c:idx val="21"/>
              <c:layout>
                <c:manualLayout>
                  <c:x val="5.3474521060744489E-4"/>
                  <c:y val="-4.300118434458136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24A-4CB6-B739-02AB171559D6}"/>
                </c:ext>
              </c:extLst>
            </c:dLbl>
            <c:dLbl>
              <c:idx val="22"/>
              <c:layout>
                <c:manualLayout>
                  <c:x val="5.3474521060744489E-4"/>
                  <c:y val="-4.300118434458136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324A-4CB6-B739-02AB171559D6}"/>
                </c:ext>
              </c:extLst>
            </c:dLbl>
            <c:dLbl>
              <c:idx val="23"/>
              <c:layout>
                <c:manualLayout>
                  <c:x val="-3.6649140140557718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24A-4CB6-B739-02AB171559D6}"/>
                </c:ext>
              </c:extLst>
            </c:dLbl>
            <c:dLbl>
              <c:idx val="24"/>
              <c:layout>
                <c:manualLayout>
                  <c:x val="-3.6649140140556794E-3"/>
                  <c:y val="-2.82222222222227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324A-4CB6-B739-02AB171559D6}"/>
                </c:ext>
              </c:extLst>
            </c:dLbl>
            <c:dLbl>
              <c:idx val="25"/>
              <c:layout>
                <c:manualLayout>
                  <c:x val="-3.6650054400488357E-3"/>
                  <c:y val="-2.8221628123839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324A-4CB6-B739-02AB171559D6}"/>
                </c:ext>
              </c:extLst>
            </c:dLbl>
            <c:dLbl>
              <c:idx val="26"/>
              <c:layout>
                <c:manualLayout>
                  <c:x val="-3.6650054400486818E-3"/>
                  <c:y val="-4.7005179274385166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324A-4CB6-B739-02AB171559D6}"/>
                </c:ext>
              </c:extLst>
            </c:dLbl>
            <c:dLbl>
              <c:idx val="27"/>
              <c:layout>
                <c:manualLayout>
                  <c:x val="-1.8287988570937243E-2"/>
                  <c:y val="1.9948224375322858E-3"/>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C-324A-4CB6-B739-02AB171559D6}"/>
                </c:ext>
              </c:extLst>
            </c:dLbl>
            <c:dLbl>
              <c:idx val="28"/>
              <c:layout>
                <c:manualLayout>
                  <c:x val="-1.4992377317807974E-2"/>
                  <c:y val="0"/>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D-324A-4CB6-B739-02AB171559D6}"/>
                </c:ext>
              </c:extLst>
            </c:dLbl>
            <c:dLbl>
              <c:idx val="29"/>
              <c:layout>
                <c:manualLayout>
                  <c:x val="-1.0958804445958325E-2"/>
                  <c:y val="9.2344340224622072E-8"/>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E-324A-4CB6-B739-02AB171559D6}"/>
                </c:ext>
              </c:extLst>
            </c:dLbl>
            <c:dLbl>
              <c:idx val="30"/>
              <c:layout>
                <c:manualLayout>
                  <c:x val="-2.8291560153048908E-3"/>
                  <c:y val="0"/>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F-324A-4CB6-B739-02AB171559D6}"/>
                </c:ext>
              </c:extLst>
            </c:dLbl>
            <c:dLbl>
              <c:idx val="31"/>
              <c:layout>
                <c:manualLayout>
                  <c:x val="-2.8291560153048908E-3"/>
                  <c:y val="-1.1727731208526948E-3"/>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20-324A-4CB6-B739-02AB171559D6}"/>
                </c:ext>
              </c:extLst>
            </c:dLbl>
            <c:dLbl>
              <c:idx val="32"/>
              <c:layout>
                <c:manualLayout>
                  <c:x val="-5.7022954029108397E-3"/>
                  <c:y val="2.3456385860456249E-3"/>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21-324A-4CB6-B739-02AB171559D6}"/>
                </c:ext>
              </c:extLst>
            </c:dLbl>
            <c:numFmt formatCode="#,##0.0" sourceLinked="0"/>
            <c:spPr>
              <a:noFill/>
              <a:ln>
                <a:noFill/>
              </a:ln>
              <a:effectLst/>
            </c:spPr>
            <c:txPr>
              <a:bodyPr vertOverflow="overflow" horzOverflow="overflow" wrap="none" lIns="36000" tIns="0" rIns="36000" bIns="0" anchor="ctr">
                <a:spAutoFit/>
              </a:bodyPr>
              <a:lstStyle/>
              <a:p>
                <a:pPr>
                  <a:defRPr sz="700">
                    <a:solidFill>
                      <a:srgbClr val="4D565E"/>
                    </a:solidFill>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'Variaciones por EF'!$F$6:$F$38</c:f>
              <c:strCache>
                <c:ptCount val="33"/>
                <c:pt idx="0">
                  <c:v>Quintana Roo</c:v>
                </c:pt>
                <c:pt idx="1">
                  <c:v>Tabasco</c:v>
                </c:pt>
                <c:pt idx="2">
                  <c:v>Chihuahua</c:v>
                </c:pt>
                <c:pt idx="3">
                  <c:v>Campeche</c:v>
                </c:pt>
                <c:pt idx="4">
                  <c:v>Sonora</c:v>
                </c:pt>
                <c:pt idx="5">
                  <c:v>Puebla</c:v>
                </c:pt>
                <c:pt idx="6">
                  <c:v>Aguascalientes</c:v>
                </c:pt>
                <c:pt idx="7">
                  <c:v>Morelos</c:v>
                </c:pt>
                <c:pt idx="8">
                  <c:v>Guerrero</c:v>
                </c:pt>
                <c:pt idx="9">
                  <c:v>Coahuila</c:v>
                </c:pt>
                <c:pt idx="10">
                  <c:v>Tlaxcala</c:v>
                </c:pt>
                <c:pt idx="11">
                  <c:v>Jalisco</c:v>
                </c:pt>
                <c:pt idx="12">
                  <c:v>Chiapas</c:v>
                </c:pt>
                <c:pt idx="13">
                  <c:v>Querétaro</c:v>
                </c:pt>
                <c:pt idx="14">
                  <c:v>Hidalgo</c:v>
                </c:pt>
                <c:pt idx="15">
                  <c:v>México</c:v>
                </c:pt>
                <c:pt idx="16">
                  <c:v>Durango</c:v>
                </c:pt>
                <c:pt idx="17">
                  <c:v>Nacional</c:v>
                </c:pt>
                <c:pt idx="18">
                  <c:v>Yucatán</c:v>
                </c:pt>
                <c:pt idx="19">
                  <c:v>Michoacán</c:v>
                </c:pt>
                <c:pt idx="20">
                  <c:v>Baja California Sur</c:v>
                </c:pt>
                <c:pt idx="21">
                  <c:v>Oaxaca</c:v>
                </c:pt>
                <c:pt idx="22">
                  <c:v>Guanajuato</c:v>
                </c:pt>
                <c:pt idx="23">
                  <c:v>Ciudad de México</c:v>
                </c:pt>
                <c:pt idx="24">
                  <c:v>Veracruz</c:v>
                </c:pt>
                <c:pt idx="25">
                  <c:v>San Luis Potosí</c:v>
                </c:pt>
                <c:pt idx="26">
                  <c:v>Nuevo León</c:v>
                </c:pt>
                <c:pt idx="27">
                  <c:v>Sinaloa</c:v>
                </c:pt>
                <c:pt idx="28">
                  <c:v>Colima</c:v>
                </c:pt>
                <c:pt idx="29">
                  <c:v>Nayarit</c:v>
                </c:pt>
                <c:pt idx="30">
                  <c:v>Zacatecas</c:v>
                </c:pt>
                <c:pt idx="31">
                  <c:v>Baja California</c:v>
                </c:pt>
                <c:pt idx="32">
                  <c:v>Tamaulipas</c:v>
                </c:pt>
              </c:strCache>
            </c:strRef>
          </c:cat>
          <c:val>
            <c:numRef>
              <c:f>'Variaciones por EF'!$G$6:$G$38</c:f>
              <c:numCache>
                <c:formatCode>0.0</c:formatCode>
                <c:ptCount val="33"/>
                <c:pt idx="0">
                  <c:v>-16.853078722449439</c:v>
                </c:pt>
                <c:pt idx="1">
                  <c:v>-5.0598108116247431</c:v>
                </c:pt>
                <c:pt idx="2">
                  <c:v>-4.9534219312565284</c:v>
                </c:pt>
                <c:pt idx="3">
                  <c:v>-2.8782340804109339</c:v>
                </c:pt>
                <c:pt idx="4">
                  <c:v>-2.7604030429790924</c:v>
                </c:pt>
                <c:pt idx="5">
                  <c:v>-1.5214365871122482</c:v>
                </c:pt>
                <c:pt idx="6">
                  <c:v>-0.62353787946112504</c:v>
                </c:pt>
                <c:pt idx="7">
                  <c:v>3.7966393543783283E-2</c:v>
                </c:pt>
                <c:pt idx="8">
                  <c:v>0.4677847883830708</c:v>
                </c:pt>
                <c:pt idx="9">
                  <c:v>0.76938939302604581</c:v>
                </c:pt>
                <c:pt idx="10">
                  <c:v>1.32677131162136</c:v>
                </c:pt>
                <c:pt idx="11">
                  <c:v>1.6815284385372848</c:v>
                </c:pt>
                <c:pt idx="12">
                  <c:v>3.6425864497256839</c:v>
                </c:pt>
                <c:pt idx="13">
                  <c:v>4.9715698492890539</c:v>
                </c:pt>
                <c:pt idx="14">
                  <c:v>5.9551052856684947</c:v>
                </c:pt>
                <c:pt idx="15">
                  <c:v>6.0619471996713941</c:v>
                </c:pt>
                <c:pt idx="16">
                  <c:v>6.7912444261361458</c:v>
                </c:pt>
                <c:pt idx="17">
                  <c:v>7.1690712240657177</c:v>
                </c:pt>
                <c:pt idx="18">
                  <c:v>7.7587706705568422</c:v>
                </c:pt>
                <c:pt idx="19">
                  <c:v>8.1477679786025448</c:v>
                </c:pt>
                <c:pt idx="20">
                  <c:v>8.8333790626662392</c:v>
                </c:pt>
                <c:pt idx="21">
                  <c:v>8.9168622022962865</c:v>
                </c:pt>
                <c:pt idx="22">
                  <c:v>9.5446920574094491</c:v>
                </c:pt>
                <c:pt idx="23">
                  <c:v>10.113739357910717</c:v>
                </c:pt>
                <c:pt idx="24">
                  <c:v>11.256093860651831</c:v>
                </c:pt>
                <c:pt idx="25">
                  <c:v>12.112657854199142</c:v>
                </c:pt>
                <c:pt idx="26">
                  <c:v>15.149015556823088</c:v>
                </c:pt>
                <c:pt idx="27">
                  <c:v>16.678349672624847</c:v>
                </c:pt>
                <c:pt idx="28">
                  <c:v>17.240653730415346</c:v>
                </c:pt>
                <c:pt idx="29">
                  <c:v>18.736158230367252</c:v>
                </c:pt>
                <c:pt idx="30">
                  <c:v>23.030543821773094</c:v>
                </c:pt>
                <c:pt idx="31">
                  <c:v>23.049564049792863</c:v>
                </c:pt>
                <c:pt idx="32">
                  <c:v>24.335385453181033</c:v>
                </c:pt>
              </c:numCache>
            </c:numRef>
          </c:val>
          <c:extLst>
            <c:ext xmlns:c16="http://schemas.microsoft.com/office/drawing/2014/chart" uri="{C3380CC4-5D6E-409C-BE32-E72D297353CC}">
              <c16:uniqueId val="{00000022-324A-4CB6-B739-02AB171559D6}"/>
            </c:ext>
          </c:extLst>
        </c:ser>
        <c:dLbls>
          <c:showLegendKey val="0"/>
          <c:showVal val="0"/>
          <c:showCatName val="0"/>
          <c:showSerName val="0"/>
          <c:showPercent val="0"/>
          <c:showBubbleSize val="0"/>
        </c:dLbls>
        <c:gapWidth val="20"/>
        <c:axId val="499233088"/>
        <c:axId val="499244848"/>
      </c:barChart>
      <c:catAx>
        <c:axId val="499233088"/>
        <c:scaling>
          <c:orientation val="minMax"/>
        </c:scaling>
        <c:delete val="0"/>
        <c:axPos val="l"/>
        <c:numFmt formatCode="General" sourceLinked="0"/>
        <c:majorTickMark val="cross"/>
        <c:minorTickMark val="none"/>
        <c:tickLblPos val="low"/>
        <c:spPr>
          <a:ln w="6350">
            <a:solidFill>
              <a:srgbClr val="C0C0C0"/>
            </a:solidFill>
          </a:ln>
        </c:spPr>
        <c:txPr>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crossAx val="499244848"/>
        <c:crosses val="autoZero"/>
        <c:auto val="1"/>
        <c:lblAlgn val="ctr"/>
        <c:lblOffset val="100"/>
        <c:noMultiLvlLbl val="0"/>
      </c:catAx>
      <c:valAx>
        <c:axId val="499244848"/>
        <c:scaling>
          <c:orientation val="minMax"/>
          <c:max val="28"/>
          <c:min val="-24"/>
        </c:scaling>
        <c:delete val="0"/>
        <c:axPos val="b"/>
        <c:numFmt formatCode="#,##0.0" sourceLinked="0"/>
        <c:majorTickMark val="out"/>
        <c:minorTickMark val="none"/>
        <c:tickLblPos val="nextTo"/>
        <c:spPr>
          <a:ln w="9525">
            <a:solidFill>
              <a:srgbClr val="D8551E">
                <a:alpha val="94902"/>
              </a:srgbClr>
            </a:solidFill>
          </a:ln>
        </c:spPr>
        <c:txPr>
          <a:bodyPr/>
          <a:lstStyle/>
          <a:p>
            <a:pPr>
              <a:defRPr sz="700">
                <a:solidFill>
                  <a:srgbClr val="4D565E"/>
                </a:solidFill>
              </a:defRPr>
            </a:pPr>
            <a:endParaRPr lang="es-MX"/>
          </a:p>
        </c:txPr>
        <c:crossAx val="499233088"/>
        <c:crosses val="autoZero"/>
        <c:crossBetween val="between"/>
        <c:majorUnit val="12"/>
      </c:valAx>
      <c:spPr>
        <a:noFill/>
        <a:ln>
          <a:noFill/>
        </a:ln>
      </c:spPr>
    </c:plotArea>
    <c:plotVisOnly val="1"/>
    <c:dispBlanksAs val="gap"/>
    <c:showDLblsOverMax val="0"/>
  </c:chart>
  <c:spPr>
    <a:noFill/>
    <a:ln w="6350">
      <a:solidFill>
        <a:srgbClr val="C0C0C0"/>
      </a:solidFill>
    </a:ln>
    <a:effectLst/>
  </c:spPr>
  <c:txPr>
    <a:bodyPr/>
    <a:lstStyle/>
    <a:p>
      <a:pPr>
        <a:defRPr sz="750">
          <a:latin typeface="Arial" panose="020B0604020202020204" pitchFamily="34" charset="0"/>
          <a:cs typeface="Arial" panose="020B0604020202020204" pitchFamily="34" charset="0"/>
        </a:defRPr>
      </a:pPr>
      <a:endParaRPr lang="es-MX"/>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6814247967009"/>
          <c:y val="2.2274222222222223E-2"/>
          <c:w val="0.57933839748401883"/>
          <c:h val="0.93805666666666665"/>
        </c:manualLayout>
      </c:layout>
      <c:barChart>
        <c:barDir val="bar"/>
        <c:grouping val="clustered"/>
        <c:varyColors val="0"/>
        <c:ser>
          <c:idx val="0"/>
          <c:order val="0"/>
          <c:tx>
            <c:strRef>
              <c:f>Contribuciones!$D$5</c:f>
              <c:strCache>
                <c:ptCount val="1"/>
                <c:pt idx="0">
                  <c:v>Primarias</c:v>
                </c:pt>
              </c:strCache>
            </c:strRef>
          </c:tx>
          <c:spPr>
            <a:solidFill>
              <a:srgbClr val="08989C"/>
            </a:solidFill>
            <a:ln>
              <a:noFill/>
            </a:ln>
          </c:spPr>
          <c:invertIfNegative val="0"/>
          <c:dLbls>
            <c:dLbl>
              <c:idx val="0"/>
              <c:layout>
                <c:manualLayout>
                  <c:x val="-1.7723149474018356E-2"/>
                  <c:y val="0"/>
                </c:manualLayout>
              </c:layout>
              <c:numFmt formatCode="#,##0.00" sourceLinked="0"/>
              <c:spPr>
                <a:noFill/>
                <a:ln>
                  <a:noFill/>
                </a:ln>
                <a:effectLst/>
              </c:spPr>
              <c:txPr>
                <a:bodyPr rot="0" lIns="0" tIns="0" rIns="0" bIns="0" anchorCtr="0"/>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1379688941654235"/>
                      <c:h val="2.9695494225752652E-2"/>
                    </c:manualLayout>
                  </c15:layout>
                </c:ext>
                <c:ext xmlns:c16="http://schemas.microsoft.com/office/drawing/2014/chart" uri="{C3380CC4-5D6E-409C-BE32-E72D297353CC}">
                  <c16:uniqueId val="{00000000-6762-49D1-90EA-A388424E2C36}"/>
                </c:ext>
              </c:extLst>
            </c:dLbl>
            <c:dLbl>
              <c:idx val="1"/>
              <c:layout>
                <c:manualLayout>
                  <c:x val="-2.4167209569194444E-2"/>
                  <c:y val="-1.7248614886556546E-16"/>
                </c:manualLayout>
              </c:layout>
              <c:numFmt formatCode="#,##0.00" sourceLinked="0"/>
              <c:spPr>
                <a:noFill/>
                <a:ln>
                  <a:noFill/>
                </a:ln>
                <a:effectLst/>
              </c:spPr>
              <c:txPr>
                <a:bodyPr rot="0" lIns="0" tIns="0" rIns="0" bIns="0" anchor="t" anchorCtr="0"/>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2219672141990229"/>
                      <c:h val="2.2639161166832275E-2"/>
                    </c:manualLayout>
                  </c15:layout>
                </c:ext>
                <c:ext xmlns:c16="http://schemas.microsoft.com/office/drawing/2014/chart" uri="{C3380CC4-5D6E-409C-BE32-E72D297353CC}">
                  <c16:uniqueId val="{00000001-6762-49D1-90EA-A388424E2C36}"/>
                </c:ext>
              </c:extLst>
            </c:dLbl>
            <c:dLbl>
              <c:idx val="2"/>
              <c:layout>
                <c:manualLayout>
                  <c:x val="-1.4748649908891548E-2"/>
                  <c:y val="9.2602796048823892E-8"/>
                </c:manualLayout>
              </c:layout>
              <c:numFmt formatCode="#,##0.00" sourceLinked="0"/>
              <c:spPr>
                <a:noFill/>
                <a:ln>
                  <a:noFill/>
                </a:ln>
                <a:effectLst/>
              </c:spPr>
              <c:txPr>
                <a:bodyPr rot="0" lIns="0" tIns="0" rIns="0" bIns="0" anchorCtr="0"/>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1133977320453591"/>
                      <c:h val="2.9036903140253412E-2"/>
                    </c:manualLayout>
                  </c15:layout>
                </c:ext>
                <c:ext xmlns:c16="http://schemas.microsoft.com/office/drawing/2014/chart" uri="{C3380CC4-5D6E-409C-BE32-E72D297353CC}">
                  <c16:uniqueId val="{00000002-6762-49D1-90EA-A388424E2C36}"/>
                </c:ext>
              </c:extLst>
            </c:dLbl>
            <c:dLbl>
              <c:idx val="3"/>
              <c:layout>
                <c:manualLayout>
                  <c:x val="3.3070204737637531E-7"/>
                  <c:y val="0"/>
                </c:manualLayout>
              </c:layout>
              <c:numFmt formatCode="#,##0.00" sourceLinked="0"/>
              <c:spPr>
                <a:noFill/>
                <a:ln>
                  <a:noFill/>
                </a:ln>
                <a:effectLst/>
              </c:spPr>
              <c:txPr>
                <a:bodyPr rot="0" lIns="0" tIns="0" rIns="0" bIns="0" anchorCtr="0"/>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6762-49D1-90EA-A388424E2C36}"/>
                </c:ext>
              </c:extLst>
            </c:dLbl>
            <c:dLbl>
              <c:idx val="4"/>
              <c:layout>
                <c:manualLayout>
                  <c:x val="3.9682539682539683E-7"/>
                  <c:y val="-1.034802860683865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62-49D1-90EA-A388424E2C36}"/>
                </c:ext>
              </c:extLst>
            </c:dLbl>
            <c:dLbl>
              <c:idx val="5"/>
              <c:layout>
                <c:manualLayout>
                  <c:x val="-7.1382108405313813E-3"/>
                  <c:y val="-1.1759346074851672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1646300932249072"/>
                      <c:h val="3.0176287942838147E-2"/>
                    </c:manualLayout>
                  </c15:layout>
                </c:ext>
                <c:ext xmlns:c16="http://schemas.microsoft.com/office/drawing/2014/chart" uri="{C3380CC4-5D6E-409C-BE32-E72D297353CC}">
                  <c16:uniqueId val="{00000005-6762-49D1-90EA-A388424E2C36}"/>
                </c:ext>
              </c:extLst>
            </c:dLbl>
            <c:dLbl>
              <c:idx val="6"/>
              <c:layout>
                <c:manualLayout>
                  <c:x val="4.2009081078220956E-3"/>
                  <c:y val="4.7005179274374389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762-49D1-90EA-A388424E2C36}"/>
                </c:ext>
              </c:extLst>
            </c:dLbl>
            <c:dLbl>
              <c:idx val="7"/>
              <c:layout>
                <c:manualLayout>
                  <c:x val="1.6535102368818765E-6"/>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762-49D1-90EA-A388424E2C36}"/>
                </c:ext>
              </c:extLst>
            </c:dLbl>
            <c:dLbl>
              <c:idx val="12"/>
              <c:layout>
                <c:manualLayout>
                  <c:x val="-4.199916001679966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762-49D1-90EA-A388424E2C36}"/>
                </c:ext>
              </c:extLst>
            </c:dLbl>
            <c:dLbl>
              <c:idx val="24"/>
              <c:layout>
                <c:manualLayout>
                  <c:x val="0"/>
                  <c:y val="-2.58700715170966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762-49D1-90EA-A388424E2C36}"/>
                </c:ext>
              </c:extLst>
            </c:dLbl>
            <c:dLbl>
              <c:idx val="26"/>
              <c:layout>
                <c:manualLayout>
                  <c:x val="4.199916001679812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762-49D1-90EA-A388424E2C36}"/>
                </c:ext>
              </c:extLst>
            </c:dLbl>
            <c:dLbl>
              <c:idx val="27"/>
              <c:layout>
                <c:manualLayout>
                  <c:x val="-4.199916001679966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762-49D1-90EA-A388424E2C36}"/>
                </c:ext>
              </c:extLst>
            </c:dLbl>
            <c:dLbl>
              <c:idx val="28"/>
              <c:layout>
                <c:manualLayout>
                  <c:x val="-1.0344690743980318E-2"/>
                  <c:y val="1.1760555098200419E-3"/>
                </c:manualLayout>
              </c:layout>
              <c:numFmt formatCode="#,##0.00" sourceLinked="0"/>
              <c:spPr>
                <a:noFill/>
                <a:ln>
                  <a:noFill/>
                </a:ln>
                <a:effectLst/>
              </c:spPr>
              <c:txPr>
                <a:bodyPr rot="0" lIns="0" tIns="0" rIns="0" bIns="0"/>
                <a:lstStyle/>
                <a:p>
                  <a:pPr algn="r">
                    <a:defRPr sz="700"/>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0718913180791502"/>
                      <c:h val="3.2047605245392782E-2"/>
                    </c:manualLayout>
                  </c15:layout>
                </c:ext>
                <c:ext xmlns:c16="http://schemas.microsoft.com/office/drawing/2014/chart" uri="{C3380CC4-5D6E-409C-BE32-E72D297353CC}">
                  <c16:uniqueId val="{0000000C-6762-49D1-90EA-A388424E2C36}"/>
                </c:ext>
              </c:extLst>
            </c:dLbl>
            <c:dLbl>
              <c:idx val="29"/>
              <c:layout>
                <c:manualLayout>
                  <c:x val="-2.2073534907254534E-2"/>
                  <c:y val="2.3521110196401268E-3"/>
                </c:manualLayout>
              </c:layout>
              <c:numFmt formatCode="#,##0.00" sourceLinked="0"/>
              <c:spPr>
                <a:noFill/>
                <a:ln>
                  <a:noFill/>
                </a:ln>
                <a:effectLst/>
              </c:spPr>
              <c:txPr>
                <a:bodyPr rot="0" lIns="0" tIns="0" rIns="0" bIns="0" anchorCtr="0"/>
                <a:lstStyle/>
                <a:p>
                  <a:pPr algn="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9.4897267408982508E-2"/>
                      <c:h val="2.7343383206112525E-2"/>
                    </c:manualLayout>
                  </c15:layout>
                </c:ext>
                <c:ext xmlns:c16="http://schemas.microsoft.com/office/drawing/2014/chart" uri="{C3380CC4-5D6E-409C-BE32-E72D297353CC}">
                  <c16:uniqueId val="{0000000D-6762-49D1-90EA-A388424E2C36}"/>
                </c:ext>
              </c:extLst>
            </c:dLbl>
            <c:dLbl>
              <c:idx val="30"/>
              <c:layout>
                <c:manualLayout>
                  <c:x val="8.0145641181649158E-4"/>
                  <c:y val="-1.1760555098200634E-3"/>
                </c:manualLayout>
              </c:layout>
              <c:numFmt formatCode="#,##0.00" sourceLinked="0"/>
              <c:spPr>
                <a:noFill/>
                <a:ln>
                  <a:noFill/>
                </a:ln>
                <a:effectLst/>
              </c:spPr>
              <c:txPr>
                <a:bodyPr rot="0" lIns="0" tIns="0" rIns="0" bIns="0" anchorCtr="0"/>
                <a:lstStyle/>
                <a:p>
                  <a:pPr algn="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7.8961397150009743E-2"/>
                      <c:h val="2.8294413921533947E-2"/>
                    </c:manualLayout>
                  </c15:layout>
                </c:ext>
                <c:ext xmlns:c16="http://schemas.microsoft.com/office/drawing/2014/chart" uri="{C3380CC4-5D6E-409C-BE32-E72D297353CC}">
                  <c16:uniqueId val="{0000000E-6762-49D1-90EA-A388424E2C36}"/>
                </c:ext>
              </c:extLst>
            </c:dLbl>
            <c:dLbl>
              <c:idx val="31"/>
              <c:layout>
                <c:manualLayout>
                  <c:x val="-2.2532053295942111E-2"/>
                  <c:y val="0"/>
                </c:manualLayout>
              </c:layout>
              <c:tx>
                <c:rich>
                  <a:bodyPr rot="0" lIns="0" tIns="0" rIns="0" bIns="0" anchorCtr="0"/>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r>
                      <a:rPr lang="en-US" sz="700" b="0" i="0" u="none" strike="noStrike" kern="1200" baseline="0">
                        <a:solidFill>
                          <a:srgbClr val="4D565E"/>
                        </a:solidFill>
                        <a:latin typeface="Arial" panose="020B0604020202020204" pitchFamily="34" charset="0"/>
                        <a:ea typeface="+mn-ea"/>
                        <a:cs typeface="Arial" panose="020B0604020202020204" pitchFamily="34" charset="0"/>
                      </a:rPr>
                      <a:t>1.62</a:t>
                    </a:r>
                  </a:p>
                </c:rich>
              </c:tx>
              <c:numFmt formatCode="#,##0.00"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0.10876062793704756"/>
                      <c:h val="3.4399716265032909E-2"/>
                    </c:manualLayout>
                  </c15:layout>
                  <c15:showDataLabelsRange val="0"/>
                </c:ext>
                <c:ext xmlns:c16="http://schemas.microsoft.com/office/drawing/2014/chart" uri="{C3380CC4-5D6E-409C-BE32-E72D297353CC}">
                  <c16:uniqueId val="{0000000F-6762-49D1-90EA-A388424E2C36}"/>
                </c:ext>
              </c:extLst>
            </c:dLbl>
            <c:numFmt formatCode="#,##0.00" sourceLinked="0"/>
            <c:spPr>
              <a:noFill/>
              <a:ln>
                <a:noFill/>
              </a:ln>
              <a:effectLst/>
            </c:spPr>
            <c:txPr>
              <a:bodyPr rot="0" lIns="0" tIns="0" rIns="0" bIns="0"/>
              <a:lstStyle/>
              <a:p>
                <a:pPr>
                  <a:defRPr sz="700"/>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Contribuciones!$D$7:$D$38</c:f>
              <c:strCache>
                <c:ptCount val="32"/>
                <c:pt idx="0">
                  <c:v>Sonora</c:v>
                </c:pt>
                <c:pt idx="1">
                  <c:v>Chihuahua</c:v>
                </c:pt>
                <c:pt idx="2">
                  <c:v>Quintana Roo</c:v>
                </c:pt>
                <c:pt idx="3">
                  <c:v>Tabasco</c:v>
                </c:pt>
                <c:pt idx="4">
                  <c:v>Puebla</c:v>
                </c:pt>
                <c:pt idx="5">
                  <c:v>Campeche</c:v>
                </c:pt>
                <c:pt idx="6">
                  <c:v>Aguascalientes</c:v>
                </c:pt>
                <c:pt idx="7">
                  <c:v>Morelos</c:v>
                </c:pt>
                <c:pt idx="8">
                  <c:v>Tlaxcala</c:v>
                </c:pt>
                <c:pt idx="9">
                  <c:v>Ciudad de México</c:v>
                </c:pt>
                <c:pt idx="10">
                  <c:v>Guerrero</c:v>
                </c:pt>
                <c:pt idx="11">
                  <c:v>Coahuila</c:v>
                </c:pt>
                <c:pt idx="12">
                  <c:v>Baja California Sur</c:v>
                </c:pt>
                <c:pt idx="13">
                  <c:v>Hidalgo</c:v>
                </c:pt>
                <c:pt idx="14">
                  <c:v>Querétaro</c:v>
                </c:pt>
                <c:pt idx="15">
                  <c:v>Yucatán</c:v>
                </c:pt>
                <c:pt idx="16">
                  <c:v>Chiapas</c:v>
                </c:pt>
                <c:pt idx="17">
                  <c:v>Nuevo León</c:v>
                </c:pt>
                <c:pt idx="18">
                  <c:v>México</c:v>
                </c:pt>
                <c:pt idx="19">
                  <c:v>Zacatecas</c:v>
                </c:pt>
                <c:pt idx="20">
                  <c:v>Colima</c:v>
                </c:pt>
                <c:pt idx="21">
                  <c:v>Durango</c:v>
                </c:pt>
                <c:pt idx="22">
                  <c:v>Oaxaca</c:v>
                </c:pt>
                <c:pt idx="23">
                  <c:v>Jalisco</c:v>
                </c:pt>
                <c:pt idx="24">
                  <c:v>Nayarit</c:v>
                </c:pt>
                <c:pt idx="25">
                  <c:v>San Luis Potosí</c:v>
                </c:pt>
                <c:pt idx="26">
                  <c:v>Guanajuato</c:v>
                </c:pt>
                <c:pt idx="27">
                  <c:v>Baja California</c:v>
                </c:pt>
                <c:pt idx="28">
                  <c:v>Tamaulipas</c:v>
                </c:pt>
                <c:pt idx="29">
                  <c:v>Michoacán</c:v>
                </c:pt>
                <c:pt idx="30">
                  <c:v>Veracruz</c:v>
                </c:pt>
                <c:pt idx="31">
                  <c:v>Sinaloa</c:v>
                </c:pt>
              </c:strCache>
            </c:strRef>
          </c:cat>
          <c:val>
            <c:numRef>
              <c:f>Contribuciones!$E$7:$E$38</c:f>
              <c:numCache>
                <c:formatCode>0.00</c:formatCode>
                <c:ptCount val="32"/>
                <c:pt idx="0">
                  <c:v>-0.167099651574425</c:v>
                </c:pt>
                <c:pt idx="1">
                  <c:v>-0.14053488766267347</c:v>
                </c:pt>
                <c:pt idx="2">
                  <c:v>-8.1684586919015839E-2</c:v>
                </c:pt>
                <c:pt idx="3">
                  <c:v>-8.0427474442272731E-2</c:v>
                </c:pt>
                <c:pt idx="4">
                  <c:v>-5.8054550747197377E-2</c:v>
                </c:pt>
                <c:pt idx="5">
                  <c:v>-2.6094861017419226E-2</c:v>
                </c:pt>
                <c:pt idx="6">
                  <c:v>-8.4846198098337145E-3</c:v>
                </c:pt>
                <c:pt idx="7">
                  <c:v>4.3616170542101242E-4</c:v>
                </c:pt>
                <c:pt idx="8">
                  <c:v>4.6792926162632191E-3</c:v>
                </c:pt>
                <c:pt idx="9">
                  <c:v>8.5959272362596262E-3</c:v>
                </c:pt>
                <c:pt idx="10">
                  <c:v>9.2155697520925721E-3</c:v>
                </c:pt>
                <c:pt idx="11">
                  <c:v>1.4722960457937717E-2</c:v>
                </c:pt>
                <c:pt idx="12">
                  <c:v>6.3791823799650399E-2</c:v>
                </c:pt>
                <c:pt idx="13">
                  <c:v>6.7200926857794011E-2</c:v>
                </c:pt>
                <c:pt idx="14">
                  <c:v>7.3703889627994665E-2</c:v>
                </c:pt>
                <c:pt idx="15">
                  <c:v>0.12384515206908707</c:v>
                </c:pt>
                <c:pt idx="16">
                  <c:v>0.12897350197533086</c:v>
                </c:pt>
                <c:pt idx="17">
                  <c:v>0.13607844013569786</c:v>
                </c:pt>
                <c:pt idx="18">
                  <c:v>0.14509655877021072</c:v>
                </c:pt>
                <c:pt idx="19">
                  <c:v>0.19589575177629184</c:v>
                </c:pt>
                <c:pt idx="20">
                  <c:v>0.19622401606185519</c:v>
                </c:pt>
                <c:pt idx="21">
                  <c:v>0.19709114254185339</c:v>
                </c:pt>
                <c:pt idx="22">
                  <c:v>0.2050835729372705</c:v>
                </c:pt>
                <c:pt idx="23">
                  <c:v>0.23426347096685055</c:v>
                </c:pt>
                <c:pt idx="24">
                  <c:v>0.25421908608191357</c:v>
                </c:pt>
                <c:pt idx="25">
                  <c:v>0.30521824819695864</c:v>
                </c:pt>
                <c:pt idx="26">
                  <c:v>0.35838673394522791</c:v>
                </c:pt>
                <c:pt idx="27">
                  <c:v>0.43343017696294595</c:v>
                </c:pt>
                <c:pt idx="28">
                  <c:v>0.80583817536887514</c:v>
                </c:pt>
                <c:pt idx="29">
                  <c:v>0.87457559673272034</c:v>
                </c:pt>
                <c:pt idx="30">
                  <c:v>1.2752574994253763</c:v>
                </c:pt>
                <c:pt idx="31">
                  <c:v>1.6196281802366423</c:v>
                </c:pt>
              </c:numCache>
            </c:numRef>
          </c:val>
          <c:extLst>
            <c:ext xmlns:c16="http://schemas.microsoft.com/office/drawing/2014/chart" uri="{C3380CC4-5D6E-409C-BE32-E72D297353CC}">
              <c16:uniqueId val="{00000010-6762-49D1-90EA-A388424E2C36}"/>
            </c:ext>
          </c:extLst>
        </c:ser>
        <c:dLbls>
          <c:showLegendKey val="0"/>
          <c:showVal val="0"/>
          <c:showCatName val="0"/>
          <c:showSerName val="0"/>
          <c:showPercent val="0"/>
          <c:showBubbleSize val="0"/>
        </c:dLbls>
        <c:gapWidth val="20"/>
        <c:axId val="417157528"/>
        <c:axId val="417157920"/>
      </c:barChart>
      <c:catAx>
        <c:axId val="417157528"/>
        <c:scaling>
          <c:orientation val="minMax"/>
        </c:scaling>
        <c:delete val="0"/>
        <c:axPos val="l"/>
        <c:numFmt formatCode="General" sourceLinked="0"/>
        <c:majorTickMark val="cross"/>
        <c:minorTickMark val="none"/>
        <c:tickLblPos val="low"/>
        <c:spPr>
          <a:ln w="6350">
            <a:solidFill>
              <a:srgbClr val="C0C0C0"/>
            </a:solidFill>
          </a:ln>
        </c:spPr>
        <c:txPr>
          <a:bodyPr/>
          <a:lstStyle/>
          <a:p>
            <a:pPr>
              <a:defRPr sz="700"/>
            </a:pPr>
            <a:endParaRPr lang="es-MX"/>
          </a:p>
        </c:txPr>
        <c:crossAx val="417157920"/>
        <c:crosses val="autoZero"/>
        <c:auto val="1"/>
        <c:lblAlgn val="ctr"/>
        <c:lblOffset val="100"/>
        <c:noMultiLvlLbl val="0"/>
      </c:catAx>
      <c:valAx>
        <c:axId val="417157920"/>
        <c:scaling>
          <c:orientation val="minMax"/>
          <c:max val="2"/>
          <c:min val="-0.60000000000000009"/>
        </c:scaling>
        <c:delete val="0"/>
        <c:axPos val="b"/>
        <c:numFmt formatCode="#,##0.00" sourceLinked="0"/>
        <c:majorTickMark val="out"/>
        <c:minorTickMark val="none"/>
        <c:tickLblPos val="nextTo"/>
        <c:spPr>
          <a:ln w="9525">
            <a:solidFill>
              <a:srgbClr val="D8551E"/>
            </a:solidFill>
          </a:ln>
        </c:spPr>
        <c:txPr>
          <a:bodyPr/>
          <a:lstStyle/>
          <a:p>
            <a:pPr>
              <a:defRPr sz="700" baseline="0">
                <a:solidFill>
                  <a:srgbClr val="4D565E"/>
                </a:solidFill>
              </a:defRPr>
            </a:pPr>
            <a:endParaRPr lang="es-MX"/>
          </a:p>
        </c:txPr>
        <c:crossAx val="417157528"/>
        <c:crosses val="autoZero"/>
        <c:crossBetween val="between"/>
        <c:majorUnit val="0.60000000000000009"/>
      </c:valAx>
      <c:spPr>
        <a:noFill/>
        <a:ln>
          <a:noFill/>
        </a:ln>
      </c:spPr>
    </c:plotArea>
    <c:plotVisOnly val="1"/>
    <c:dispBlanksAs val="gap"/>
    <c:showDLblsOverMax val="0"/>
  </c:chart>
  <c:spPr>
    <a:noFill/>
    <a:ln w="6350">
      <a:solidFill>
        <a:srgbClr val="C0C0C0"/>
      </a:solidFill>
    </a:ln>
    <a:effectLst/>
  </c:spPr>
  <c:txPr>
    <a:bodyPr/>
    <a:lstStyle/>
    <a:p>
      <a:pPr>
        <a:defRPr sz="900">
          <a:solidFill>
            <a:srgbClr val="4D565E"/>
          </a:solidFill>
          <a:latin typeface="Arial" panose="020B0604020202020204" pitchFamily="34" charset="0"/>
          <a:cs typeface="Arial" panose="020B0604020202020204" pitchFamily="34" charset="0"/>
        </a:defRPr>
      </a:pPr>
      <a:endParaRPr lang="es-MX"/>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516222086244344"/>
          <c:y val="1.9088888888888891E-2"/>
          <c:w val="0.55188041716817848"/>
          <c:h val="0.95115832207437667"/>
        </c:manualLayout>
      </c:layout>
      <c:barChart>
        <c:barDir val="bar"/>
        <c:grouping val="clustered"/>
        <c:varyColors val="0"/>
        <c:ser>
          <c:idx val="0"/>
          <c:order val="0"/>
          <c:tx>
            <c:strRef>
              <c:f>'Variaciones por EF'!$K$4</c:f>
              <c:strCache>
                <c:ptCount val="1"/>
                <c:pt idx="0">
                  <c:v>Secundarias</c:v>
                </c:pt>
              </c:strCache>
            </c:strRef>
          </c:tx>
          <c:spPr>
            <a:solidFill>
              <a:srgbClr val="08989C"/>
            </a:solidFill>
            <a:ln w="0">
              <a:noFill/>
            </a:ln>
            <a:effectLst/>
          </c:spPr>
          <c:invertIfNegative val="0"/>
          <c:dPt>
            <c:idx val="10"/>
            <c:invertIfNegative val="0"/>
            <c:bubble3D val="0"/>
            <c:spPr>
              <a:solidFill>
                <a:srgbClr val="C0C0C0"/>
              </a:solidFill>
              <a:ln w="0">
                <a:noFill/>
              </a:ln>
              <a:effectLst/>
            </c:spPr>
            <c:extLst>
              <c:ext xmlns:c16="http://schemas.microsoft.com/office/drawing/2014/chart" uri="{C3380CC4-5D6E-409C-BE32-E72D297353CC}">
                <c16:uniqueId val="{00000001-2130-443B-8411-1BDA3195AA1B}"/>
              </c:ext>
            </c:extLst>
          </c:dPt>
          <c:dPt>
            <c:idx val="11"/>
            <c:invertIfNegative val="0"/>
            <c:bubble3D val="0"/>
            <c:extLst>
              <c:ext xmlns:c16="http://schemas.microsoft.com/office/drawing/2014/chart" uri="{C3380CC4-5D6E-409C-BE32-E72D297353CC}">
                <c16:uniqueId val="{00000002-2130-443B-8411-1BDA3195AA1B}"/>
              </c:ext>
            </c:extLst>
          </c:dPt>
          <c:dPt>
            <c:idx val="12"/>
            <c:invertIfNegative val="0"/>
            <c:bubble3D val="0"/>
            <c:extLst>
              <c:ext xmlns:c16="http://schemas.microsoft.com/office/drawing/2014/chart" uri="{C3380CC4-5D6E-409C-BE32-E72D297353CC}">
                <c16:uniqueId val="{00000003-2130-443B-8411-1BDA3195AA1B}"/>
              </c:ext>
            </c:extLst>
          </c:dPt>
          <c:dPt>
            <c:idx val="13"/>
            <c:invertIfNegative val="0"/>
            <c:bubble3D val="0"/>
            <c:extLst>
              <c:ext xmlns:c16="http://schemas.microsoft.com/office/drawing/2014/chart" uri="{C3380CC4-5D6E-409C-BE32-E72D297353CC}">
                <c16:uniqueId val="{00000004-2130-443B-8411-1BDA3195AA1B}"/>
              </c:ext>
            </c:extLst>
          </c:dPt>
          <c:dPt>
            <c:idx val="14"/>
            <c:invertIfNegative val="0"/>
            <c:bubble3D val="0"/>
            <c:extLst>
              <c:ext xmlns:c16="http://schemas.microsoft.com/office/drawing/2014/chart" uri="{C3380CC4-5D6E-409C-BE32-E72D297353CC}">
                <c16:uniqueId val="{00000005-2130-443B-8411-1BDA3195AA1B}"/>
              </c:ext>
            </c:extLst>
          </c:dPt>
          <c:dPt>
            <c:idx val="15"/>
            <c:invertIfNegative val="0"/>
            <c:bubble3D val="0"/>
            <c:extLst>
              <c:ext xmlns:c16="http://schemas.microsoft.com/office/drawing/2014/chart" uri="{C3380CC4-5D6E-409C-BE32-E72D297353CC}">
                <c16:uniqueId val="{00000006-2130-443B-8411-1BDA3195AA1B}"/>
              </c:ext>
            </c:extLst>
          </c:dPt>
          <c:dPt>
            <c:idx val="16"/>
            <c:invertIfNegative val="0"/>
            <c:bubble3D val="0"/>
            <c:extLst>
              <c:ext xmlns:c16="http://schemas.microsoft.com/office/drawing/2014/chart" uri="{C3380CC4-5D6E-409C-BE32-E72D297353CC}">
                <c16:uniqueId val="{00000007-2130-443B-8411-1BDA3195AA1B}"/>
              </c:ext>
            </c:extLst>
          </c:dPt>
          <c:dPt>
            <c:idx val="17"/>
            <c:invertIfNegative val="0"/>
            <c:bubble3D val="0"/>
            <c:extLst>
              <c:ext xmlns:c16="http://schemas.microsoft.com/office/drawing/2014/chart" uri="{C3380CC4-5D6E-409C-BE32-E72D297353CC}">
                <c16:uniqueId val="{00000008-2130-443B-8411-1BDA3195AA1B}"/>
              </c:ext>
            </c:extLst>
          </c:dPt>
          <c:dPt>
            <c:idx val="18"/>
            <c:invertIfNegative val="0"/>
            <c:bubble3D val="0"/>
            <c:extLst>
              <c:ext xmlns:c16="http://schemas.microsoft.com/office/drawing/2014/chart" uri="{C3380CC4-5D6E-409C-BE32-E72D297353CC}">
                <c16:uniqueId val="{00000009-2130-443B-8411-1BDA3195AA1B}"/>
              </c:ext>
            </c:extLst>
          </c:dPt>
          <c:dPt>
            <c:idx val="19"/>
            <c:invertIfNegative val="0"/>
            <c:bubble3D val="0"/>
            <c:extLst>
              <c:ext xmlns:c16="http://schemas.microsoft.com/office/drawing/2014/chart" uri="{C3380CC4-5D6E-409C-BE32-E72D297353CC}">
                <c16:uniqueId val="{0000000A-2130-443B-8411-1BDA3195AA1B}"/>
              </c:ext>
            </c:extLst>
          </c:dPt>
          <c:dPt>
            <c:idx val="20"/>
            <c:invertIfNegative val="0"/>
            <c:bubble3D val="0"/>
            <c:extLst>
              <c:ext xmlns:c16="http://schemas.microsoft.com/office/drawing/2014/chart" uri="{C3380CC4-5D6E-409C-BE32-E72D297353CC}">
                <c16:uniqueId val="{0000000B-2130-443B-8411-1BDA3195AA1B}"/>
              </c:ext>
            </c:extLst>
          </c:dPt>
          <c:dPt>
            <c:idx val="23"/>
            <c:invertIfNegative val="0"/>
            <c:bubble3D val="0"/>
            <c:extLst>
              <c:ext xmlns:c16="http://schemas.microsoft.com/office/drawing/2014/chart" uri="{C3380CC4-5D6E-409C-BE32-E72D297353CC}">
                <c16:uniqueId val="{0000000C-2130-443B-8411-1BDA3195AA1B}"/>
              </c:ext>
            </c:extLst>
          </c:dPt>
          <c:dLbls>
            <c:dLbl>
              <c:idx val="0"/>
              <c:layout>
                <c:manualLayout>
                  <c:x val="-2.4922367694378396E-2"/>
                  <c:y val="2.7780838814647169E-7"/>
                </c:manualLayout>
              </c:layout>
              <c:tx>
                <c:rich>
                  <a:bodyPr wrap="square" lIns="38100" tIns="19050" rIns="38100" bIns="19050" anchor="ctr">
                    <a:noAutofit/>
                  </a:bodyPr>
                  <a:lstStyle/>
                  <a:p>
                    <a:pPr>
                      <a:defRPr sz="700">
                        <a:solidFill>
                          <a:srgbClr val="4D565E"/>
                        </a:solidFill>
                      </a:defRPr>
                    </a:pPr>
                    <a:r>
                      <a:rPr lang="en-US" sz="700">
                        <a:solidFill>
                          <a:srgbClr val="4D565E"/>
                        </a:solidFill>
                      </a:rPr>
                      <a:t>-51.4</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0.12606395116192165"/>
                      <c:h val="3.9338134869647649E-2"/>
                    </c:manualLayout>
                  </c15:layout>
                  <c15:showDataLabelsRange val="0"/>
                </c:ext>
                <c:ext xmlns:c16="http://schemas.microsoft.com/office/drawing/2014/chart" uri="{C3380CC4-5D6E-409C-BE32-E72D297353CC}">
                  <c16:uniqueId val="{0000000D-2130-443B-8411-1BDA3195AA1B}"/>
                </c:ext>
              </c:extLst>
            </c:dLbl>
            <c:dLbl>
              <c:idx val="1"/>
              <c:layout>
                <c:manualLayout>
                  <c:x val="-1.5859312735005144E-2"/>
                  <c:y val="1.1729578095331496E-3"/>
                </c:manualLayout>
              </c:layout>
              <c:numFmt formatCode="#,##0.0" sourceLinked="0"/>
              <c:spPr>
                <a:noFill/>
                <a:ln>
                  <a:noFill/>
                </a:ln>
                <a:effectLst/>
              </c:spPr>
              <c:txPr>
                <a:bodyPr wrap="square" lIns="0" tIns="0" rIns="0" bIns="0" anchor="t" anchorCtr="0">
                  <a:no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1044621627252492"/>
                      <c:h val="2.9343337549775909E-2"/>
                    </c:manualLayout>
                  </c15:layout>
                </c:ext>
                <c:ext xmlns:c16="http://schemas.microsoft.com/office/drawing/2014/chart" uri="{C3380CC4-5D6E-409C-BE32-E72D297353CC}">
                  <c16:uniqueId val="{0000000E-2130-443B-8411-1BDA3195AA1B}"/>
                </c:ext>
              </c:extLst>
            </c:dLbl>
            <c:dLbl>
              <c:idx val="2"/>
              <c:layout>
                <c:manualLayout>
                  <c:x val="-9.6776647144222478E-3"/>
                  <c:y val="-1.1727731208527002E-3"/>
                </c:manualLayout>
              </c:layout>
              <c:numFmt formatCode="#,##0.0" sourceLinked="0"/>
              <c:spPr>
                <a:noFill/>
                <a:ln>
                  <a:noFill/>
                </a:ln>
                <a:effectLst/>
              </c:spPr>
              <c:txPr>
                <a:bodyPr wrap="square" lIns="0" tIns="0" rIns="0" bIns="0" anchor="t" anchorCtr="0">
                  <a:no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1044621627252495"/>
                      <c:h val="2.7004440100566681E-2"/>
                    </c:manualLayout>
                  </c15:layout>
                </c:ext>
                <c:ext xmlns:c16="http://schemas.microsoft.com/office/drawing/2014/chart" uri="{C3380CC4-5D6E-409C-BE32-E72D297353CC}">
                  <c16:uniqueId val="{0000000F-2130-443B-8411-1BDA3195AA1B}"/>
                </c:ext>
              </c:extLst>
            </c:dLbl>
            <c:dLbl>
              <c:idx val="3"/>
              <c:layout>
                <c:manualLayout>
                  <c:x val="3.9780149278903412E-3"/>
                  <c:y val="-7.020016743875769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130-443B-8411-1BDA3195AA1B}"/>
                </c:ext>
              </c:extLst>
            </c:dLbl>
            <c:dLbl>
              <c:idx val="4"/>
              <c:layout>
                <c:manualLayout>
                  <c:x val="-3.1984126984126982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130-443B-8411-1BDA3195AA1B}"/>
                </c:ext>
              </c:extLst>
            </c:dLbl>
            <c:dLbl>
              <c:idx val="5"/>
              <c:layout>
                <c:manualLayout>
                  <c:x val="-3.2000000000000002E-3"/>
                  <c:y val="-7.020000000001034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130-443B-8411-1BDA3195AA1B}"/>
                </c:ext>
              </c:extLst>
            </c:dLbl>
            <c:dLbl>
              <c:idx val="6"/>
              <c:layout>
                <c:manualLayout>
                  <c:x val="-3.2007936507936507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130-443B-8411-1BDA3195AA1B}"/>
                </c:ext>
              </c:extLst>
            </c:dLbl>
            <c:dLbl>
              <c:idx val="7"/>
              <c:layout>
                <c:manualLayout>
                  <c:x val="4.0266669666596654E-4"/>
                  <c:y val="-2.1130708627463998E-3"/>
                </c:manualLayout>
              </c:layout>
              <c:showLegendKey val="0"/>
              <c:showVal val="1"/>
              <c:showCatName val="0"/>
              <c:showSerName val="0"/>
              <c:showPercent val="0"/>
              <c:showBubbleSize val="0"/>
              <c:extLst>
                <c:ext xmlns:c15="http://schemas.microsoft.com/office/drawing/2012/chart" uri="{CE6537A1-D6FC-4f65-9D91-7224C49458BB}">
                  <c15:layout>
                    <c:manualLayout>
                      <c:w val="0.10713985720285595"/>
                      <c:h val="3.0646524941174074E-2"/>
                    </c:manualLayout>
                  </c15:layout>
                </c:ext>
                <c:ext xmlns:c16="http://schemas.microsoft.com/office/drawing/2014/chart" uri="{C3380CC4-5D6E-409C-BE32-E72D297353CC}">
                  <c16:uniqueId val="{00000014-2130-443B-8411-1BDA3195AA1B}"/>
                </c:ext>
              </c:extLst>
            </c:dLbl>
            <c:dLbl>
              <c:idx val="8"/>
              <c:layout>
                <c:manualLayout>
                  <c:x val="2.2715923634283991E-3"/>
                  <c:y val="-7.020016743875769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130-443B-8411-1BDA3195AA1B}"/>
                </c:ext>
              </c:extLst>
            </c:dLbl>
            <c:dLbl>
              <c:idx val="9"/>
              <c:layout>
                <c:manualLayout>
                  <c:x val="1.8386814691527678E-3"/>
                  <c:y val="-7.0196860446248741E-4"/>
                </c:manualLayout>
              </c:layout>
              <c:showLegendKey val="0"/>
              <c:showVal val="1"/>
              <c:showCatName val="0"/>
              <c:showSerName val="0"/>
              <c:showPercent val="0"/>
              <c:showBubbleSize val="0"/>
              <c:extLst>
                <c:ext xmlns:c15="http://schemas.microsoft.com/office/drawing/2012/chart" uri="{CE6537A1-D6FC-4f65-9D91-7224C49458BB}">
                  <c15:layout>
                    <c:manualLayout>
                      <c:w val="0.11424168367026361"/>
                      <c:h val="3.357036562361964E-2"/>
                    </c:manualLayout>
                  </c15:layout>
                </c:ext>
                <c:ext xmlns:c16="http://schemas.microsoft.com/office/drawing/2014/chart" uri="{C3380CC4-5D6E-409C-BE32-E72D297353CC}">
                  <c16:uniqueId val="{00000016-2130-443B-8411-1BDA3195AA1B}"/>
                </c:ext>
              </c:extLst>
            </c:dLbl>
            <c:dLbl>
              <c:idx val="10"/>
              <c:layout>
                <c:manualLayout>
                  <c:x val="-6.7926200531107485E-4"/>
                  <c:y val="2.1200484127417742E-3"/>
                </c:manualLayout>
              </c:layout>
              <c:showLegendKey val="0"/>
              <c:showVal val="1"/>
              <c:showCatName val="0"/>
              <c:showSerName val="0"/>
              <c:showPercent val="0"/>
              <c:showBubbleSize val="0"/>
              <c:extLst>
                <c:ext xmlns:c15="http://schemas.microsoft.com/office/drawing/2012/chart" uri="{CE6537A1-D6FC-4f65-9D91-7224C49458BB}">
                  <c15:layout>
                    <c:manualLayout>
                      <c:w val="0.10507738095238095"/>
                      <c:h val="4.1921111111111103E-2"/>
                    </c:manualLayout>
                  </c15:layout>
                </c:ext>
                <c:ext xmlns:c16="http://schemas.microsoft.com/office/drawing/2014/chart" uri="{C3380CC4-5D6E-409C-BE32-E72D297353CC}">
                  <c16:uniqueId val="{00000001-2130-443B-8411-1BDA3195AA1B}"/>
                </c:ext>
              </c:extLst>
            </c:dLbl>
            <c:dLbl>
              <c:idx val="11"/>
              <c:layout>
                <c:manualLayout>
                  <c:x val="9.4812276982806796E-4"/>
                  <c:y val="-7.019291940500851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30-443B-8411-1BDA3195AA1B}"/>
                </c:ext>
              </c:extLst>
            </c:dLbl>
            <c:dLbl>
              <c:idx val="12"/>
              <c:layout>
                <c:manualLayout>
                  <c:x val="5.3937503927094514E-4"/>
                  <c:y val="1.65018182558995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30-443B-8411-1BDA3195AA1B}"/>
                </c:ext>
              </c:extLst>
            </c:dLbl>
            <c:dLbl>
              <c:idx val="13"/>
              <c:layout>
                <c:manualLayout>
                  <c:x val="-3.6611111111111111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30-443B-8411-1BDA3195AA1B}"/>
                </c:ext>
              </c:extLst>
            </c:dLbl>
            <c:dLbl>
              <c:idx val="14"/>
              <c:layout>
                <c:manualLayout>
                  <c:x val="-7.8627718784208527E-3"/>
                  <c:y val="-7.0200167438766296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130-443B-8411-1BDA3195AA1B}"/>
                </c:ext>
              </c:extLst>
            </c:dLbl>
            <c:dLbl>
              <c:idx val="15"/>
              <c:layout>
                <c:manualLayout>
                  <c:x val="-1.2063018582148042E-2"/>
                  <c:y val="-3.51776529651675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130-443B-8411-1BDA3195AA1B}"/>
                </c:ext>
              </c:extLst>
            </c:dLbl>
            <c:dLbl>
              <c:idx val="16"/>
              <c:layout>
                <c:manualLayout>
                  <c:x val="-1.626392668997013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130-443B-8411-1BDA3195AA1B}"/>
                </c:ext>
              </c:extLst>
            </c:dLbl>
            <c:dLbl>
              <c:idx val="17"/>
              <c:layout>
                <c:manualLayout>
                  <c:x val="-1.20650027944322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130-443B-8411-1BDA3195AA1B}"/>
                </c:ext>
              </c:extLst>
            </c:dLbl>
            <c:dLbl>
              <c:idx val="18"/>
              <c:layout>
                <c:manualLayout>
                  <c:x val="-1.626491879611242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130-443B-8411-1BDA3195AA1B}"/>
                </c:ext>
              </c:extLst>
            </c:dLbl>
            <c:dLbl>
              <c:idx val="19"/>
              <c:layout>
                <c:manualLayout>
                  <c:x val="-1.62649187961122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130-443B-8411-1BDA3195AA1B}"/>
                </c:ext>
              </c:extLst>
            </c:dLbl>
            <c:dLbl>
              <c:idx val="20"/>
              <c:layout>
                <c:manualLayout>
                  <c:x val="-1.6264918796112266E-2"/>
                  <c:y val="-2.34554624170540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130-443B-8411-1BDA3195AA1B}"/>
                </c:ext>
              </c:extLst>
            </c:dLbl>
            <c:dLbl>
              <c:idx val="21"/>
              <c:layout>
                <c:manualLayout>
                  <c:x val="-1.62649187961122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130-443B-8411-1BDA3195AA1B}"/>
                </c:ext>
              </c:extLst>
            </c:dLbl>
            <c:dLbl>
              <c:idx val="22"/>
              <c:layout>
                <c:manualLayout>
                  <c:x val="-1.626491879611242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130-443B-8411-1BDA3195AA1B}"/>
                </c:ext>
              </c:extLst>
            </c:dLbl>
            <c:dLbl>
              <c:idx val="23"/>
              <c:layout>
                <c:manualLayout>
                  <c:x val="-1.6264918796112422E-2"/>
                  <c:y val="2.34554624170540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130-443B-8411-1BDA3195AA1B}"/>
                </c:ext>
              </c:extLst>
            </c:dLbl>
            <c:dLbl>
              <c:idx val="24"/>
              <c:layout>
                <c:manualLayout>
                  <c:x val="-1.6264918796112266E-2"/>
                  <c:y val="-4.700326917433693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130-443B-8411-1BDA3195AA1B}"/>
                </c:ext>
              </c:extLst>
            </c:dLbl>
            <c:dLbl>
              <c:idx val="25"/>
              <c:layout>
                <c:manualLayout>
                  <c:x val="-1.2065002794432299E-2"/>
                  <c:y val="-4.700326917433263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2130-443B-8411-1BDA3195AA1B}"/>
                </c:ext>
              </c:extLst>
            </c:dLbl>
            <c:dLbl>
              <c:idx val="26"/>
              <c:layout>
                <c:manualLayout>
                  <c:x val="-1.6264918796112422E-2"/>
                  <c:y val="-4.7003269174334783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2130-443B-8411-1BDA3195AA1B}"/>
                </c:ext>
              </c:extLst>
            </c:dLbl>
            <c:dLbl>
              <c:idx val="27"/>
              <c:layout>
                <c:manualLayout>
                  <c:x val="-2.8787613224113471E-2"/>
                  <c:y val="-3.5077939143294493E-4"/>
                </c:manualLayout>
              </c:layout>
              <c:showLegendKey val="0"/>
              <c:showVal val="1"/>
              <c:showCatName val="0"/>
              <c:showSerName val="0"/>
              <c:showPercent val="0"/>
              <c:showBubbleSize val="0"/>
              <c:extLst>
                <c:ext xmlns:c15="http://schemas.microsoft.com/office/drawing/2012/chart" uri="{CE6537A1-D6FC-4f65-9D91-7224C49458BB}">
                  <c15:layout>
                    <c:manualLayout>
                      <c:w val="0.1082845238095238"/>
                      <c:h val="3.5574666666666657E-2"/>
                    </c:manualLayout>
                  </c15:layout>
                </c:ext>
                <c:ext xmlns:c16="http://schemas.microsoft.com/office/drawing/2014/chart" uri="{C3380CC4-5D6E-409C-BE32-E72D297353CC}">
                  <c16:uniqueId val="{0000001C-2130-443B-8411-1BDA3195AA1B}"/>
                </c:ext>
              </c:extLst>
            </c:dLbl>
            <c:dLbl>
              <c:idx val="28"/>
              <c:layout>
                <c:manualLayout>
                  <c:x val="-1.2904655292720918E-2"/>
                  <c:y val="-2.15607686081956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2130-443B-8411-1BDA3195AA1B}"/>
                </c:ext>
              </c:extLst>
            </c:dLbl>
            <c:dLbl>
              <c:idx val="29"/>
              <c:layout>
                <c:manualLayout>
                  <c:x val="-1.71045712944008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2130-443B-8411-1BDA3195AA1B}"/>
                </c:ext>
              </c:extLst>
            </c:dLbl>
            <c:dLbl>
              <c:idx val="30"/>
              <c:layout>
                <c:manualLayout>
                  <c:x val="-2.1304487296080851E-2"/>
                  <c:y val="0"/>
                </c:manualLayout>
              </c:layout>
              <c:numFmt formatCode="#,##0.0" sourceLinked="0"/>
              <c:spPr>
                <a:noFill/>
                <a:ln>
                  <a:noFill/>
                </a:ln>
                <a:effectLst/>
              </c:spPr>
              <c:txPr>
                <a:bodyPr wrap="square" lIns="72000" tIns="19050" rIns="36000" bIns="19050" anchor="t" anchorCtr="0">
                  <a:spAutoFit/>
                </a:bodyPr>
                <a:lstStyle/>
                <a:p>
                  <a:pPr>
                    <a:defRPr sz="700" b="0">
                      <a:solidFill>
                        <a:srgbClr val="4D565E"/>
                      </a:solidFill>
                    </a:defRPr>
                  </a:pPr>
                  <a:endParaRPr lang="es-MX"/>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F-2130-443B-8411-1BDA3195AA1B}"/>
                </c:ext>
              </c:extLst>
            </c:dLbl>
            <c:dLbl>
              <c:idx val="31"/>
              <c:layout>
                <c:manualLayout>
                  <c:x val="-8.7047392910409513E-3"/>
                  <c:y val="2.3422951232589515E-3"/>
                </c:manualLayout>
              </c:layout>
              <c:numFmt formatCode="#,##0.0" sourceLinked="0"/>
              <c:spPr>
                <a:noFill/>
                <a:ln>
                  <a:noFill/>
                </a:ln>
                <a:effectLst/>
              </c:spPr>
              <c:txPr>
                <a:bodyPr vertOverflow="overflow" horzOverflow="overflow" wrap="none" lIns="0" tIns="0" rIns="0" bIns="0" anchor="t" anchorCtr="0">
                  <a:spAutoFit/>
                </a:bodyPr>
                <a:lstStyle/>
                <a:p>
                  <a:pPr>
                    <a:defRPr sz="700" b="0">
                      <a:solidFill>
                        <a:srgbClr val="4D565E"/>
                      </a:solidFill>
                    </a:defRPr>
                  </a:pPr>
                  <a:endParaRPr lang="es-MX"/>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20-2130-443B-8411-1BDA3195AA1B}"/>
                </c:ext>
              </c:extLst>
            </c:dLbl>
            <c:dLbl>
              <c:idx val="32"/>
              <c:layout>
                <c:manualLayout>
                  <c:x val="-2.099792649816295E-3"/>
                  <c:y val="1.8520559209495271E-7"/>
                </c:manualLayout>
              </c:layout>
              <c:spPr>
                <a:noFill/>
                <a:ln>
                  <a:noFill/>
                </a:ln>
                <a:effectLst/>
              </c:spPr>
              <c:txPr>
                <a:bodyPr wrap="square" lIns="38100" tIns="19050" rIns="38100" bIns="19050" anchor="ctr" anchorCtr="0">
                  <a:no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layout>
                    <c:manualLayout>
                      <c:w val="0.11454460674566035"/>
                      <c:h val="2.2313384530332513E-2"/>
                    </c:manualLayout>
                  </c15:layout>
                </c:ext>
                <c:ext xmlns:c16="http://schemas.microsoft.com/office/drawing/2014/chart" uri="{C3380CC4-5D6E-409C-BE32-E72D297353CC}">
                  <c16:uniqueId val="{00000021-2130-443B-8411-1BDA3195AA1B}"/>
                </c:ext>
              </c:extLst>
            </c:dLbl>
            <c:numFmt formatCode="#,##0.0" sourceLinked="0"/>
            <c:spPr>
              <a:noFill/>
              <a:ln>
                <a:noFill/>
              </a:ln>
              <a:effectLst/>
            </c:spPr>
            <c:txPr>
              <a:bodyPr wrap="square" lIns="72000" tIns="19050" rIns="36000" bIns="19050" anchor="t" anchorCtr="0">
                <a:spAutoFit/>
              </a:bodyPr>
              <a:lstStyle/>
              <a:p>
                <a:pPr>
                  <a:defRPr sz="700">
                    <a:solidFill>
                      <a:srgbClr val="4D565E"/>
                    </a:solidFill>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'Variaciones por EF'!$J$6:$J$38</c:f>
              <c:strCache>
                <c:ptCount val="33"/>
                <c:pt idx="0">
                  <c:v>Quintana Roo</c:v>
                </c:pt>
                <c:pt idx="1">
                  <c:v>Campeche</c:v>
                </c:pt>
                <c:pt idx="2">
                  <c:v>Tabasco</c:v>
                </c:pt>
                <c:pt idx="3">
                  <c:v>Durango</c:v>
                </c:pt>
                <c:pt idx="4">
                  <c:v>Sinaloa</c:v>
                </c:pt>
                <c:pt idx="5">
                  <c:v>Puebla</c:v>
                </c:pt>
                <c:pt idx="6">
                  <c:v>Michoacán</c:v>
                </c:pt>
                <c:pt idx="7">
                  <c:v>Veracruz</c:v>
                </c:pt>
                <c:pt idx="8">
                  <c:v>Chihuahua</c:v>
                </c:pt>
                <c:pt idx="9">
                  <c:v>Yucatán</c:v>
                </c:pt>
                <c:pt idx="10">
                  <c:v>Nacional</c:v>
                </c:pt>
                <c:pt idx="11">
                  <c:v>Coahuila</c:v>
                </c:pt>
                <c:pt idx="12">
                  <c:v>Hidalgo</c:v>
                </c:pt>
                <c:pt idx="13">
                  <c:v>Guerrero</c:v>
                </c:pt>
                <c:pt idx="14">
                  <c:v>Tlaxcala</c:v>
                </c:pt>
                <c:pt idx="15">
                  <c:v>Sonora</c:v>
                </c:pt>
                <c:pt idx="16">
                  <c:v>Aguascalientes</c:v>
                </c:pt>
                <c:pt idx="17">
                  <c:v>México</c:v>
                </c:pt>
                <c:pt idx="18">
                  <c:v>Baja California</c:v>
                </c:pt>
                <c:pt idx="19">
                  <c:v>Jalisco</c:v>
                </c:pt>
                <c:pt idx="20">
                  <c:v>Nuevo León</c:v>
                </c:pt>
                <c:pt idx="21">
                  <c:v>Querétaro</c:v>
                </c:pt>
                <c:pt idx="22">
                  <c:v>Chiapas</c:v>
                </c:pt>
                <c:pt idx="23">
                  <c:v>Tamaulipas</c:v>
                </c:pt>
                <c:pt idx="24">
                  <c:v>Morelos</c:v>
                </c:pt>
                <c:pt idx="25">
                  <c:v>Zacatecas</c:v>
                </c:pt>
                <c:pt idx="26">
                  <c:v>San Luis Potosí</c:v>
                </c:pt>
                <c:pt idx="27">
                  <c:v>Colima</c:v>
                </c:pt>
                <c:pt idx="28">
                  <c:v>Guanajuato</c:v>
                </c:pt>
                <c:pt idx="29">
                  <c:v>Baja California Sur</c:v>
                </c:pt>
                <c:pt idx="30">
                  <c:v>Ciudad de México</c:v>
                </c:pt>
                <c:pt idx="31">
                  <c:v>Nayarit</c:v>
                </c:pt>
                <c:pt idx="32">
                  <c:v>Oaxaca</c:v>
                </c:pt>
              </c:strCache>
            </c:strRef>
          </c:cat>
          <c:val>
            <c:numRef>
              <c:f>'Variaciones por EF'!$K$6:$K$38</c:f>
              <c:numCache>
                <c:formatCode>0.0</c:formatCode>
                <c:ptCount val="33"/>
                <c:pt idx="0">
                  <c:v>-51.354720515619043</c:v>
                </c:pt>
                <c:pt idx="1">
                  <c:v>-21.018854307915973</c:v>
                </c:pt>
                <c:pt idx="2">
                  <c:v>-20.28511801691721</c:v>
                </c:pt>
                <c:pt idx="3">
                  <c:v>-4.4608811001765361</c:v>
                </c:pt>
                <c:pt idx="4">
                  <c:v>-4.3684809340029176</c:v>
                </c:pt>
                <c:pt idx="5">
                  <c:v>-4.1147220762747168</c:v>
                </c:pt>
                <c:pt idx="6">
                  <c:v>-3.202907811595324</c:v>
                </c:pt>
                <c:pt idx="7">
                  <c:v>-2.5508049725050483</c:v>
                </c:pt>
                <c:pt idx="8">
                  <c:v>-1.6558746353851461</c:v>
                </c:pt>
                <c:pt idx="9">
                  <c:v>-1.4144491322412023</c:v>
                </c:pt>
                <c:pt idx="10">
                  <c:v>-0.74011030145520396</c:v>
                </c:pt>
                <c:pt idx="11">
                  <c:v>-0.61299702393000643</c:v>
                </c:pt>
                <c:pt idx="12">
                  <c:v>-0.57400453873310697</c:v>
                </c:pt>
                <c:pt idx="13">
                  <c:v>-0.54502635779516595</c:v>
                </c:pt>
                <c:pt idx="14">
                  <c:v>0.42822963425915361</c:v>
                </c:pt>
                <c:pt idx="15">
                  <c:v>0.80647936237190265</c:v>
                </c:pt>
                <c:pt idx="16">
                  <c:v>1.3228509811139304</c:v>
                </c:pt>
                <c:pt idx="17">
                  <c:v>1.7393770965703084</c:v>
                </c:pt>
                <c:pt idx="18">
                  <c:v>2.5126324572033525</c:v>
                </c:pt>
                <c:pt idx="19">
                  <c:v>3.0755158659746797</c:v>
                </c:pt>
                <c:pt idx="20">
                  <c:v>3.1683983716020947</c:v>
                </c:pt>
                <c:pt idx="21">
                  <c:v>3.1881449538227855</c:v>
                </c:pt>
                <c:pt idx="22">
                  <c:v>3.3717971085597469</c:v>
                </c:pt>
                <c:pt idx="23">
                  <c:v>3.4290077075902303</c:v>
                </c:pt>
                <c:pt idx="24">
                  <c:v>3.6015154390640163</c:v>
                </c:pt>
                <c:pt idx="25">
                  <c:v>4.0109734432703448</c:v>
                </c:pt>
                <c:pt idx="26">
                  <c:v>5.3589995134607875</c:v>
                </c:pt>
                <c:pt idx="27">
                  <c:v>5.8052408681074468</c:v>
                </c:pt>
                <c:pt idx="28">
                  <c:v>5.9686739839056884</c:v>
                </c:pt>
                <c:pt idx="29">
                  <c:v>6.8907698111111699</c:v>
                </c:pt>
                <c:pt idx="30">
                  <c:v>8.8511555146309888</c:v>
                </c:pt>
                <c:pt idx="31">
                  <c:v>12.598351469897025</c:v>
                </c:pt>
                <c:pt idx="32">
                  <c:v>15.012911428408145</c:v>
                </c:pt>
              </c:numCache>
            </c:numRef>
          </c:val>
          <c:extLst>
            <c:ext xmlns:c16="http://schemas.microsoft.com/office/drawing/2014/chart" uri="{C3380CC4-5D6E-409C-BE32-E72D297353CC}">
              <c16:uniqueId val="{00000022-2130-443B-8411-1BDA3195AA1B}"/>
            </c:ext>
          </c:extLst>
        </c:ser>
        <c:dLbls>
          <c:showLegendKey val="0"/>
          <c:showVal val="0"/>
          <c:showCatName val="0"/>
          <c:showSerName val="0"/>
          <c:showPercent val="0"/>
          <c:showBubbleSize val="0"/>
        </c:dLbls>
        <c:gapWidth val="20"/>
        <c:axId val="499233088"/>
        <c:axId val="499244848"/>
      </c:barChart>
      <c:catAx>
        <c:axId val="499233088"/>
        <c:scaling>
          <c:orientation val="minMax"/>
        </c:scaling>
        <c:delete val="0"/>
        <c:axPos val="l"/>
        <c:numFmt formatCode="General" sourceLinked="0"/>
        <c:majorTickMark val="cross"/>
        <c:minorTickMark val="none"/>
        <c:tickLblPos val="low"/>
        <c:spPr>
          <a:ln w="6350">
            <a:solidFill>
              <a:srgbClr val="C0C0C0"/>
            </a:solidFill>
          </a:ln>
        </c:spPr>
        <c:txPr>
          <a:bodyPr/>
          <a:lstStyle/>
          <a:p>
            <a:pPr>
              <a:defRPr sz="700">
                <a:solidFill>
                  <a:srgbClr val="4D565E"/>
                </a:solidFill>
              </a:defRPr>
            </a:pPr>
            <a:endParaRPr lang="es-MX"/>
          </a:p>
        </c:txPr>
        <c:crossAx val="499244848"/>
        <c:crosses val="autoZero"/>
        <c:auto val="1"/>
        <c:lblAlgn val="ctr"/>
        <c:lblOffset val="100"/>
        <c:noMultiLvlLbl val="0"/>
      </c:catAx>
      <c:valAx>
        <c:axId val="499244848"/>
        <c:scaling>
          <c:orientation val="minMax"/>
        </c:scaling>
        <c:delete val="0"/>
        <c:axPos val="b"/>
        <c:numFmt formatCode="#,##0.0" sourceLinked="0"/>
        <c:majorTickMark val="out"/>
        <c:minorTickMark val="none"/>
        <c:tickLblPos val="nextTo"/>
        <c:spPr>
          <a:ln w="9525">
            <a:solidFill>
              <a:srgbClr val="D8551E"/>
            </a:solidFill>
          </a:ln>
        </c:spPr>
        <c:txPr>
          <a:bodyPr/>
          <a:lstStyle/>
          <a:p>
            <a:pPr>
              <a:defRPr sz="700">
                <a:solidFill>
                  <a:srgbClr val="4D565E"/>
                </a:solidFill>
              </a:defRPr>
            </a:pPr>
            <a:endParaRPr lang="es-MX"/>
          </a:p>
        </c:txPr>
        <c:crossAx val="499233088"/>
        <c:crosses val="autoZero"/>
        <c:crossBetween val="between"/>
        <c:majorUnit val="20"/>
      </c:valAx>
      <c:spPr>
        <a:noFill/>
        <a:ln>
          <a:noFill/>
        </a:ln>
      </c:spPr>
    </c:plotArea>
    <c:plotVisOnly val="1"/>
    <c:dispBlanksAs val="gap"/>
    <c:showDLblsOverMax val="0"/>
  </c:chart>
  <c:spPr>
    <a:noFill/>
    <a:ln w="6350">
      <a:solidFill>
        <a:srgbClr val="C0C0C0"/>
      </a:solidFill>
    </a:ln>
    <a:effectLst/>
  </c:spPr>
  <c:txPr>
    <a:bodyPr/>
    <a:lstStyle/>
    <a:p>
      <a:pPr>
        <a:defRPr sz="750">
          <a:latin typeface="Arial" panose="020B0604020202020204" pitchFamily="34" charset="0"/>
          <a:cs typeface="Arial" panose="020B0604020202020204" pitchFamily="34" charset="0"/>
        </a:defRPr>
      </a:pPr>
      <a:endParaRPr lang="es-MX"/>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013358907059695"/>
          <c:y val="2.2274222222222223E-2"/>
          <c:w val="0.57141042465845615"/>
          <c:h val="0.9417528412852898"/>
        </c:manualLayout>
      </c:layout>
      <c:barChart>
        <c:barDir val="bar"/>
        <c:grouping val="clustered"/>
        <c:varyColors val="0"/>
        <c:ser>
          <c:idx val="0"/>
          <c:order val="0"/>
          <c:spPr>
            <a:solidFill>
              <a:srgbClr val="08989C"/>
            </a:solidFill>
          </c:spPr>
          <c:invertIfNegative val="0"/>
          <c:dLbls>
            <c:dLbl>
              <c:idx val="0"/>
              <c:layout>
                <c:manualLayout>
                  <c:x val="-2.1162450766732697E-2"/>
                  <c:y val="-2.3521110196402994E-3"/>
                </c:manualLayout>
              </c:layout>
              <c:numFmt formatCode="#,##0.00" sourceLinked="0"/>
              <c:spPr>
                <a:noFill/>
                <a:ln>
                  <a:noFill/>
                </a:ln>
                <a:effectLst/>
              </c:spPr>
              <c:txPr>
                <a:bodyPr rot="0" lIns="0" tIns="0" rIns="0" bIns="0" anchorCtr="0"/>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1799680541822233"/>
                      <c:h val="2.7343383206112525E-2"/>
                    </c:manualLayout>
                  </c15:layout>
                </c:ext>
                <c:ext xmlns:c16="http://schemas.microsoft.com/office/drawing/2014/chart" uri="{C3380CC4-5D6E-409C-BE32-E72D297353CC}">
                  <c16:uniqueId val="{00000000-43D1-4986-B7F1-48982D8A7F6A}"/>
                </c:ext>
              </c:extLst>
            </c:dLbl>
            <c:dLbl>
              <c:idx val="1"/>
              <c:layout>
                <c:manualLayout>
                  <c:x val="-1.6067489673828494E-2"/>
                  <c:y val="-2.3520184168440783E-3"/>
                </c:manualLayout>
              </c:layout>
              <c:numFmt formatCode="#,##0.00" sourceLinked="0"/>
              <c:spPr>
                <a:noFill/>
                <a:ln>
                  <a:noFill/>
                </a:ln>
                <a:effectLst/>
              </c:spPr>
              <c:txPr>
                <a:bodyPr rot="0" lIns="0" tIns="0" rIns="0" bIns="0" anchorCtr="0"/>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2536154001329422"/>
                      <c:h val="2.9036903140253412E-2"/>
                    </c:manualLayout>
                  </c15:layout>
                </c:ext>
                <c:ext xmlns:c16="http://schemas.microsoft.com/office/drawing/2014/chart" uri="{C3380CC4-5D6E-409C-BE32-E72D297353CC}">
                  <c16:uniqueId val="{00000001-43D1-4986-B7F1-48982D8A7F6A}"/>
                </c:ext>
              </c:extLst>
            </c:dLbl>
            <c:dLbl>
              <c:idx val="2"/>
              <c:layout>
                <c:manualLayout>
                  <c:x val="-1.9274142076213596E-2"/>
                  <c:y val="9.2602795876337756E-8"/>
                </c:manualLayout>
              </c:layout>
              <c:numFmt formatCode="#,##0.00" sourceLinked="0"/>
              <c:spPr>
                <a:noFill/>
                <a:ln>
                  <a:noFill/>
                </a:ln>
                <a:effectLst/>
              </c:spPr>
              <c:txPr>
                <a:bodyPr rot="0" lIns="0" tIns="0" rIns="0" bIns="0" anchorCtr="0"/>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1790718516338333"/>
                      <c:h val="2.3119954883917763E-2"/>
                    </c:manualLayout>
                  </c15:layout>
                </c:ext>
                <c:ext xmlns:c16="http://schemas.microsoft.com/office/drawing/2014/chart" uri="{C3380CC4-5D6E-409C-BE32-E72D297353CC}">
                  <c16:uniqueId val="{00000002-43D1-4986-B7F1-48982D8A7F6A}"/>
                </c:ext>
              </c:extLst>
            </c:dLbl>
            <c:dLbl>
              <c:idx val="3"/>
              <c:layout>
                <c:manualLayout>
                  <c:x val="-1.2598094494802941E-2"/>
                  <c:y val="-2.35211101964029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D1-4986-B7F1-48982D8A7F6A}"/>
                </c:ext>
              </c:extLst>
            </c:dLbl>
            <c:dLbl>
              <c:idx val="4"/>
              <c:layout>
                <c:manualLayout>
                  <c:x val="-8.399832003359855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D1-4986-B7F1-48982D8A7F6A}"/>
                </c:ext>
              </c:extLst>
            </c:dLbl>
            <c:dLbl>
              <c:idx val="5"/>
              <c:layout>
                <c:manualLayout>
                  <c:x val="-8.399832003359933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D1-4986-B7F1-48982D8A7F6A}"/>
                </c:ext>
              </c:extLst>
            </c:dLbl>
            <c:dLbl>
              <c:idx val="6"/>
              <c:layout>
                <c:manualLayout>
                  <c:x val="-3.3529880583489154E-3"/>
                  <c:y val="-2.35211101964012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3D1-4986-B7F1-48982D8A7F6A}"/>
                </c:ext>
              </c:extLst>
            </c:dLbl>
            <c:dLbl>
              <c:idx val="7"/>
              <c:layout>
                <c:manualLayout>
                  <c:x val="-5.039682539682539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3D1-4986-B7F1-48982D8A7F6A}"/>
                </c:ext>
              </c:extLst>
            </c:dLbl>
            <c:dLbl>
              <c:idx val="8"/>
              <c:layout>
                <c:manualLayout>
                  <c:x val="-1.091763204105989E-2"/>
                  <c:y val="-9.2602796048823892E-8"/>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1461996779388084"/>
                      <c:h val="3.487266666666667E-2"/>
                    </c:manualLayout>
                  </c15:layout>
                </c:ext>
                <c:ext xmlns:c16="http://schemas.microsoft.com/office/drawing/2014/chart" uri="{C3380CC4-5D6E-409C-BE32-E72D297353CC}">
                  <c16:uniqueId val="{00000008-43D1-4986-B7F1-48982D8A7F6A}"/>
                </c:ext>
              </c:extLst>
            </c:dLbl>
            <c:dLbl>
              <c:idx val="9"/>
              <c:layout>
                <c:manualLayout>
                  <c:x val="-1.1755134976040636E-2"/>
                  <c:y val="0"/>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2906150793650795"/>
                      <c:h val="3.2050444444444444E-2"/>
                    </c:manualLayout>
                  </c15:layout>
                </c:ext>
                <c:ext xmlns:c16="http://schemas.microsoft.com/office/drawing/2014/chart" uri="{C3380CC4-5D6E-409C-BE32-E72D297353CC}">
                  <c16:uniqueId val="{00000009-43D1-4986-B7F1-48982D8A7F6A}"/>
                </c:ext>
              </c:extLst>
            </c:dLbl>
            <c:dLbl>
              <c:idx val="11"/>
              <c:layout>
                <c:manualLayout>
                  <c:x val="1.1904761904761904E-6"/>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3D1-4986-B7F1-48982D8A7F6A}"/>
                </c:ext>
              </c:extLst>
            </c:dLbl>
            <c:dLbl>
              <c:idx val="12"/>
              <c:layout>
                <c:manualLayout>
                  <c:x val="-0.12179624124052936"/>
                  <c:y val="2.352111019640040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3D1-4986-B7F1-48982D8A7F6A}"/>
                </c:ext>
              </c:extLst>
            </c:dLbl>
            <c:dLbl>
              <c:idx val="13"/>
              <c:layout>
                <c:manualLayout>
                  <c:x val="-4.1999160016799666E-3"/>
                  <c:y val="-8.624307443278272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3D1-4986-B7F1-48982D8A7F6A}"/>
                </c:ext>
              </c:extLst>
            </c:dLbl>
            <c:dLbl>
              <c:idx val="14"/>
              <c:layout>
                <c:manualLayout>
                  <c:x val="-1.4276076683190746E-2"/>
                  <c:y val="-2.8222554151800922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1973268921095005"/>
                      <c:h val="3.487266666666667E-2"/>
                    </c:manualLayout>
                  </c15:layout>
                </c:ext>
                <c:ext xmlns:c16="http://schemas.microsoft.com/office/drawing/2014/chart" uri="{C3380CC4-5D6E-409C-BE32-E72D297353CC}">
                  <c16:uniqueId val="{0000000D-43D1-4986-B7F1-48982D8A7F6A}"/>
                </c:ext>
              </c:extLst>
            </c:dLbl>
            <c:dLbl>
              <c:idx val="15"/>
              <c:layout>
                <c:manualLayout>
                  <c:x val="-4.199916001679966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3D1-4986-B7F1-48982D8A7F6A}"/>
                </c:ext>
              </c:extLst>
            </c:dLbl>
            <c:dLbl>
              <c:idx val="16"/>
              <c:layout>
                <c:manualLayout>
                  <c:x val="-4.199916001679966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3D1-4986-B7F1-48982D8A7F6A}"/>
                </c:ext>
              </c:extLst>
            </c:dLbl>
            <c:dLbl>
              <c:idx val="17"/>
              <c:layout>
                <c:manualLayout>
                  <c:x val="-4.1999160016799666E-3"/>
                  <c:y val="2.82216281238395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3D1-4986-B7F1-48982D8A7F6A}"/>
                </c:ext>
              </c:extLst>
            </c:dLbl>
            <c:dLbl>
              <c:idx val="18"/>
              <c:layout>
                <c:manualLayout>
                  <c:x val="-4.1999160016799666E-3"/>
                  <c:y val="2.82216281238395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3D1-4986-B7F1-48982D8A7F6A}"/>
                </c:ext>
              </c:extLst>
            </c:dLbl>
            <c:dLbl>
              <c:idx val="19"/>
              <c:layout>
                <c:manualLayout>
                  <c:x val="-5.0396825396825393E-3"/>
                  <c:y val="2.82222222222217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3D1-4986-B7F1-48982D8A7F6A}"/>
                </c:ext>
              </c:extLst>
            </c:dLbl>
            <c:dLbl>
              <c:idx val="20"/>
              <c:layout>
                <c:manualLayout>
                  <c:x val="-5.0396825396825393E-3"/>
                  <c:y val="2.82222222222222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3D1-4986-B7F1-48982D8A7F6A}"/>
                </c:ext>
              </c:extLst>
            </c:dLbl>
            <c:dLbl>
              <c:idx val="21"/>
              <c:layout>
                <c:manualLayout>
                  <c:x val="-5.0396825396826321E-3"/>
                  <c:y val="2.82222222222222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3D1-4986-B7F1-48982D8A7F6A}"/>
                </c:ext>
              </c:extLst>
            </c:dLbl>
            <c:dLbl>
              <c:idx val="22"/>
              <c:layout>
                <c:manualLayout>
                  <c:x val="-5.0396825396825393E-3"/>
                  <c:y val="2.82222222222222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3D1-4986-B7F1-48982D8A7F6A}"/>
                </c:ext>
              </c:extLst>
            </c:dLbl>
            <c:dLbl>
              <c:idx val="23"/>
              <c:layout>
                <c:manualLayout>
                  <c:x val="-9.23948450164855E-3"/>
                  <c:y val="2.82216281238395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3D1-4986-B7F1-48982D8A7F6A}"/>
                </c:ext>
              </c:extLst>
            </c:dLbl>
            <c:dLbl>
              <c:idx val="24"/>
              <c:layout>
                <c:manualLayout>
                  <c:x val="-1.0079365079365172E-2"/>
                  <c:y val="-2.58700715170966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3D1-4986-B7F1-48982D8A7F6A}"/>
                </c:ext>
              </c:extLst>
            </c:dLbl>
            <c:dLbl>
              <c:idx val="25"/>
              <c:layout>
                <c:manualLayout>
                  <c:x val="-1.007936507936517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3D1-4986-B7F1-48982D8A7F6A}"/>
                </c:ext>
              </c:extLst>
            </c:dLbl>
            <c:dLbl>
              <c:idx val="26"/>
              <c:layout>
                <c:manualLayout>
                  <c:x val="-1.007936507936517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3D1-4986-B7F1-48982D8A7F6A}"/>
                </c:ext>
              </c:extLst>
            </c:dLbl>
            <c:dLbl>
              <c:idx val="27"/>
              <c:layout>
                <c:manualLayout>
                  <c:x val="-5.039682539682539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3D1-4986-B7F1-48982D8A7F6A}"/>
                </c:ext>
              </c:extLst>
            </c:dLbl>
            <c:dLbl>
              <c:idx val="28"/>
              <c:layout>
                <c:manualLayout>
                  <c:x val="-5.039682539682632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3D1-4986-B7F1-48982D8A7F6A}"/>
                </c:ext>
              </c:extLst>
            </c:dLbl>
            <c:dLbl>
              <c:idx val="29"/>
              <c:layout>
                <c:manualLayout>
                  <c:x val="-5.039682539682632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3D1-4986-B7F1-48982D8A7F6A}"/>
                </c:ext>
              </c:extLst>
            </c:dLbl>
            <c:dLbl>
              <c:idx val="30"/>
              <c:layout>
                <c:manualLayout>
                  <c:x val="-5.0395684999687369E-3"/>
                  <c:y val="-5.3901921520489205E-1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3D1-4986-B7F1-48982D8A7F6A}"/>
                </c:ext>
              </c:extLst>
            </c:dLbl>
            <c:dLbl>
              <c:idx val="31"/>
              <c:layout>
                <c:manualLayout>
                  <c:x val="-1.6285422323051141E-3"/>
                  <c:y val="-2.6950960760244603E-18"/>
                </c:manualLayout>
              </c:layout>
              <c:tx>
                <c:rich>
                  <a:bodyPr wrap="square" lIns="0" tIns="0" rIns="0" bIns="0" anchor="ctr" anchorCtr="0">
                    <a:no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r>
                      <a:rPr lang="en-US" sz="700" b="0" i="0" u="none" strike="noStrike" kern="1200" baseline="0">
                        <a:solidFill>
                          <a:srgbClr val="4D565E"/>
                        </a:solidFill>
                        <a:latin typeface="Arial" panose="020B0604020202020204" pitchFamily="34" charset="0"/>
                        <a:ea typeface="+mn-ea"/>
                        <a:cs typeface="Arial" panose="020B0604020202020204" pitchFamily="34" charset="0"/>
                      </a:rPr>
                      <a:t>0.36</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9.424214665312991E-2"/>
                      <c:h val="1.934990985117805E-2"/>
                    </c:manualLayout>
                  </c15:layout>
                  <c15:showDataLabelsRange val="0"/>
                </c:ext>
                <c:ext xmlns:c16="http://schemas.microsoft.com/office/drawing/2014/chart" uri="{C3380CC4-5D6E-409C-BE32-E72D297353CC}">
                  <c16:uniqueId val="{0000001E-43D1-4986-B7F1-48982D8A7F6A}"/>
                </c:ext>
              </c:extLst>
            </c:dLbl>
            <c:numFmt formatCode="#,##0.00" sourceLinked="0"/>
            <c:spPr>
              <a:noFill/>
              <a:ln>
                <a:noFill/>
              </a:ln>
              <a:effectLst/>
            </c:spPr>
            <c:txPr>
              <a:bodyPr rot="0"/>
              <a:lstStyle/>
              <a:p>
                <a:pPr>
                  <a:defRPr sz="700">
                    <a:solidFill>
                      <a:srgbClr val="4D565E"/>
                    </a:solidFill>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Contribuciones!$G$7:$G$38</c:f>
              <c:strCache>
                <c:ptCount val="32"/>
                <c:pt idx="0">
                  <c:v>Campeche</c:v>
                </c:pt>
                <c:pt idx="1">
                  <c:v>Tabasco</c:v>
                </c:pt>
                <c:pt idx="2">
                  <c:v>Quintana Roo</c:v>
                </c:pt>
                <c:pt idx="3">
                  <c:v>Puebla</c:v>
                </c:pt>
                <c:pt idx="4">
                  <c:v>Veracruz </c:v>
                </c:pt>
                <c:pt idx="5">
                  <c:v>Chihuahua</c:v>
                </c:pt>
                <c:pt idx="6">
                  <c:v>Durango</c:v>
                </c:pt>
                <c:pt idx="7">
                  <c:v>Sinaloa</c:v>
                </c:pt>
                <c:pt idx="8">
                  <c:v>Michoacán </c:v>
                </c:pt>
                <c:pt idx="9">
                  <c:v>Coahuila </c:v>
                </c:pt>
                <c:pt idx="10">
                  <c:v>Yucatán</c:v>
                </c:pt>
                <c:pt idx="11">
                  <c:v>Hidalgo</c:v>
                </c:pt>
                <c:pt idx="12">
                  <c:v>Guerrero</c:v>
                </c:pt>
                <c:pt idx="13">
                  <c:v>Tlaxcala</c:v>
                </c:pt>
                <c:pt idx="14">
                  <c:v>Aguascalientes</c:v>
                </c:pt>
                <c:pt idx="15">
                  <c:v>Baja California Sur</c:v>
                </c:pt>
                <c:pt idx="16">
                  <c:v>Colima</c:v>
                </c:pt>
                <c:pt idx="17">
                  <c:v>Chiapas</c:v>
                </c:pt>
                <c:pt idx="18">
                  <c:v>Morelos</c:v>
                </c:pt>
                <c:pt idx="19">
                  <c:v>Nayarit</c:v>
                </c:pt>
                <c:pt idx="20">
                  <c:v>Sonora</c:v>
                </c:pt>
                <c:pt idx="21">
                  <c:v>Zacatecas</c:v>
                </c:pt>
                <c:pt idx="22">
                  <c:v>Querétaro</c:v>
                </c:pt>
                <c:pt idx="23">
                  <c:v>Baja California</c:v>
                </c:pt>
                <c:pt idx="24">
                  <c:v>Tamaulipas</c:v>
                </c:pt>
                <c:pt idx="25">
                  <c:v>México</c:v>
                </c:pt>
                <c:pt idx="26">
                  <c:v>San Luis Potosí</c:v>
                </c:pt>
                <c:pt idx="27">
                  <c:v>Jalisco</c:v>
                </c:pt>
                <c:pt idx="28">
                  <c:v>Oaxaca</c:v>
                </c:pt>
                <c:pt idx="29">
                  <c:v>Nuevo León</c:v>
                </c:pt>
                <c:pt idx="30">
                  <c:v>Guanajuato</c:v>
                </c:pt>
                <c:pt idx="31">
                  <c:v>Ciudad de México</c:v>
                </c:pt>
              </c:strCache>
            </c:strRef>
          </c:cat>
          <c:val>
            <c:numRef>
              <c:f>Contribuciones!$H$7:$H$38</c:f>
              <c:numCache>
                <c:formatCode>#,##0.0000</c:formatCode>
                <c:ptCount val="32"/>
                <c:pt idx="0">
                  <c:v>-1.0713328508336208</c:v>
                </c:pt>
                <c:pt idx="1">
                  <c:v>-1.0182536857538795</c:v>
                </c:pt>
                <c:pt idx="2">
                  <c:v>-0.51134815456770433</c:v>
                </c:pt>
                <c:pt idx="3">
                  <c:v>-0.14500253150812667</c:v>
                </c:pt>
                <c:pt idx="4">
                  <c:v>-0.10358279662216119</c:v>
                </c:pt>
                <c:pt idx="5">
                  <c:v>-8.5552509157692427E-2</c:v>
                </c:pt>
                <c:pt idx="6">
                  <c:v>-6.8760401486266068E-2</c:v>
                </c:pt>
                <c:pt idx="7">
                  <c:v>-4.8351037926536028E-2</c:v>
                </c:pt>
                <c:pt idx="8">
                  <c:v>-4.7382210885605153E-2</c:v>
                </c:pt>
                <c:pt idx="9">
                  <c:v>-3.5695884694580071E-2</c:v>
                </c:pt>
                <c:pt idx="10">
                  <c:v>-1.7129605760617016E-2</c:v>
                </c:pt>
                <c:pt idx="11">
                  <c:v>-1.253770868670559E-2</c:v>
                </c:pt>
                <c:pt idx="12">
                  <c:v>-3.3700948340262948E-3</c:v>
                </c:pt>
                <c:pt idx="13">
                  <c:v>2.5819936144586332E-3</c:v>
                </c:pt>
                <c:pt idx="14">
                  <c:v>2.3740439863120709E-2</c:v>
                </c:pt>
                <c:pt idx="15">
                  <c:v>2.4528746068592663E-2</c:v>
                </c:pt>
                <c:pt idx="16">
                  <c:v>2.5536250439358553E-2</c:v>
                </c:pt>
                <c:pt idx="17">
                  <c:v>3.0609129833787441E-2</c:v>
                </c:pt>
                <c:pt idx="18">
                  <c:v>3.4279384268387079E-2</c:v>
                </c:pt>
                <c:pt idx="19">
                  <c:v>3.5605144663223148E-2</c:v>
                </c:pt>
                <c:pt idx="20">
                  <c:v>3.9563704896762156E-2</c:v>
                </c:pt>
                <c:pt idx="21">
                  <c:v>4.1934994687730077E-2</c:v>
                </c:pt>
                <c:pt idx="22">
                  <c:v>9.9543562973128955E-2</c:v>
                </c:pt>
                <c:pt idx="23">
                  <c:v>0.12664337091972466</c:v>
                </c:pt>
                <c:pt idx="24">
                  <c:v>0.12869594519894229</c:v>
                </c:pt>
                <c:pt idx="25">
                  <c:v>0.12933760945964815</c:v>
                </c:pt>
                <c:pt idx="26">
                  <c:v>0.18231197580113975</c:v>
                </c:pt>
                <c:pt idx="27">
                  <c:v>0.19959874547351147</c:v>
                </c:pt>
                <c:pt idx="28">
                  <c:v>0.29677673654285597</c:v>
                </c:pt>
                <c:pt idx="29">
                  <c:v>0.31985717357733751</c:v>
                </c:pt>
                <c:pt idx="30">
                  <c:v>0.33121609010405317</c:v>
                </c:pt>
                <c:pt idx="31">
                  <c:v>0.35582817287652885</c:v>
                </c:pt>
              </c:numCache>
            </c:numRef>
          </c:val>
          <c:extLst>
            <c:ext xmlns:c16="http://schemas.microsoft.com/office/drawing/2014/chart" uri="{C3380CC4-5D6E-409C-BE32-E72D297353CC}">
              <c16:uniqueId val="{0000001F-43D1-4986-B7F1-48982D8A7F6A}"/>
            </c:ext>
          </c:extLst>
        </c:ser>
        <c:dLbls>
          <c:showLegendKey val="0"/>
          <c:showVal val="0"/>
          <c:showCatName val="0"/>
          <c:showSerName val="0"/>
          <c:showPercent val="0"/>
          <c:showBubbleSize val="0"/>
        </c:dLbls>
        <c:gapWidth val="20"/>
        <c:axId val="417155176"/>
        <c:axId val="417151648"/>
      </c:barChart>
      <c:catAx>
        <c:axId val="417155176"/>
        <c:scaling>
          <c:orientation val="minMax"/>
        </c:scaling>
        <c:delete val="0"/>
        <c:axPos val="l"/>
        <c:numFmt formatCode="General" sourceLinked="0"/>
        <c:majorTickMark val="cross"/>
        <c:minorTickMark val="none"/>
        <c:tickLblPos val="low"/>
        <c:spPr>
          <a:ln w="6350">
            <a:solidFill>
              <a:srgbClr val="C0C0C0"/>
            </a:solidFill>
          </a:ln>
        </c:spPr>
        <c:txPr>
          <a:bodyPr/>
          <a:lstStyle/>
          <a:p>
            <a:pPr>
              <a:defRPr sz="700">
                <a:solidFill>
                  <a:srgbClr val="4D565E"/>
                </a:solidFill>
              </a:defRPr>
            </a:pPr>
            <a:endParaRPr lang="es-MX"/>
          </a:p>
        </c:txPr>
        <c:crossAx val="417151648"/>
        <c:crosses val="autoZero"/>
        <c:auto val="1"/>
        <c:lblAlgn val="ctr"/>
        <c:lblOffset val="100"/>
        <c:noMultiLvlLbl val="0"/>
      </c:catAx>
      <c:valAx>
        <c:axId val="417151648"/>
        <c:scaling>
          <c:orientation val="minMax"/>
          <c:max val="0.5"/>
          <c:min val="-1.5"/>
        </c:scaling>
        <c:delete val="0"/>
        <c:axPos val="b"/>
        <c:numFmt formatCode="#,##0.00" sourceLinked="0"/>
        <c:majorTickMark val="out"/>
        <c:minorTickMark val="none"/>
        <c:tickLblPos val="nextTo"/>
        <c:spPr>
          <a:ln w="9525">
            <a:solidFill>
              <a:srgbClr val="D8551E"/>
            </a:solidFill>
          </a:ln>
        </c:spPr>
        <c:txPr>
          <a:bodyPr/>
          <a:lstStyle/>
          <a:p>
            <a:pPr>
              <a:defRPr sz="700">
                <a:solidFill>
                  <a:srgbClr val="4D565E"/>
                </a:solidFill>
              </a:defRPr>
            </a:pPr>
            <a:endParaRPr lang="es-MX"/>
          </a:p>
        </c:txPr>
        <c:crossAx val="417155176"/>
        <c:crosses val="autoZero"/>
        <c:crossBetween val="between"/>
        <c:majorUnit val="0.5"/>
      </c:valAx>
      <c:spPr>
        <a:noFill/>
        <a:ln>
          <a:noFill/>
        </a:ln>
      </c:spPr>
    </c:plotArea>
    <c:plotVisOnly val="1"/>
    <c:dispBlanksAs val="gap"/>
    <c:showDLblsOverMax val="0"/>
  </c:chart>
  <c:spPr>
    <a:noFill/>
    <a:ln w="6350">
      <a:solidFill>
        <a:srgbClr val="C0C0C0"/>
      </a:solidFill>
    </a:ln>
    <a:effectLst/>
  </c:spPr>
  <c:txPr>
    <a:bodyPr/>
    <a:lstStyle/>
    <a:p>
      <a:pPr>
        <a:defRPr sz="750">
          <a:latin typeface="Arial" panose="020B0604020202020204" pitchFamily="34" charset="0"/>
          <a:cs typeface="Arial" panose="020B0604020202020204" pitchFamily="34" charset="0"/>
        </a:defRPr>
      </a:pPr>
      <a:endParaRPr lang="es-MX"/>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0.94712</cdr:x>
      <cdr:y>0.68598</cdr:y>
    </cdr:from>
    <cdr:to>
      <cdr:x>1</cdr:x>
      <cdr:y>0.73664</cdr:y>
    </cdr:to>
    <cdr:grpSp>
      <cdr:nvGrpSpPr>
        <cdr:cNvPr id="12" name="Grupo 11">
          <a:extLst xmlns:a="http://schemas.openxmlformats.org/drawingml/2006/main">
            <a:ext uri="{FF2B5EF4-FFF2-40B4-BE49-F238E27FC236}">
              <a16:creationId xmlns:a16="http://schemas.microsoft.com/office/drawing/2014/main" id="{5E6E79A9-AA42-6E29-101D-62BAB790509F}"/>
            </a:ext>
          </a:extLst>
        </cdr:cNvPr>
        <cdr:cNvGrpSpPr/>
      </cdr:nvGrpSpPr>
      <cdr:grpSpPr>
        <a:xfrm xmlns:a="http://schemas.openxmlformats.org/drawingml/2006/main">
          <a:off x="2863968" y="3817843"/>
          <a:ext cx="159902" cy="281950"/>
          <a:chOff x="128136" y="0"/>
          <a:chExt cx="165954" cy="286913"/>
        </a:xfrm>
      </cdr:grpSpPr>
      <cdr:cxnSp macro="">
        <cdr:nvCxnSpPr>
          <cdr:cNvPr id="13" name="Conector recto 12">
            <a:extLst xmlns:a="http://schemas.openxmlformats.org/drawingml/2006/main">
              <a:ext uri="{FF2B5EF4-FFF2-40B4-BE49-F238E27FC236}">
                <a16:creationId xmlns:a16="http://schemas.microsoft.com/office/drawing/2014/main" id="{1C261718-A235-CD4F-7533-0CC7F23FC553}"/>
              </a:ext>
            </a:extLst>
          </cdr:cNvPr>
          <cdr:cNvCxnSpPr/>
        </cdr:nvCxnSpPr>
        <cdr:spPr>
          <a:xfrm xmlns:a="http://schemas.openxmlformats.org/drawingml/2006/main" flipH="1">
            <a:off x="128136" y="662"/>
            <a:ext cx="114175" cy="286251"/>
          </a:xfrm>
          <a:prstGeom xmlns:a="http://schemas.openxmlformats.org/drawingml/2006/main" prst="line">
            <a:avLst/>
          </a:prstGeom>
          <a:ln xmlns:a="http://schemas.openxmlformats.org/drawingml/2006/main" w="9525">
            <a:solidFill>
              <a:schemeClr val="bg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4" name="Conector recto 13">
            <a:extLst xmlns:a="http://schemas.openxmlformats.org/drawingml/2006/main">
              <a:ext uri="{FF2B5EF4-FFF2-40B4-BE49-F238E27FC236}">
                <a16:creationId xmlns:a16="http://schemas.microsoft.com/office/drawing/2014/main" id="{18DBC943-10DD-7810-A144-A804DB91E9FA}"/>
              </a:ext>
            </a:extLst>
          </cdr:cNvPr>
          <cdr:cNvCxnSpPr/>
        </cdr:nvCxnSpPr>
        <cdr:spPr>
          <a:xfrm xmlns:a="http://schemas.openxmlformats.org/drawingml/2006/main" flipH="1">
            <a:off x="178262" y="0"/>
            <a:ext cx="115828" cy="284107"/>
          </a:xfrm>
          <a:prstGeom xmlns:a="http://schemas.openxmlformats.org/drawingml/2006/main" prst="line">
            <a:avLst/>
          </a:prstGeom>
          <a:ln xmlns:a="http://schemas.openxmlformats.org/drawingml/2006/main" w="9525">
            <a:solidFill>
              <a:schemeClr val="bg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2.xml><?xml version="1.0" encoding="utf-8"?>
<c:userShapes xmlns:c="http://schemas.openxmlformats.org/drawingml/2006/chart">
  <cdr:relSizeAnchor xmlns:cdr="http://schemas.openxmlformats.org/drawingml/2006/chartDrawing">
    <cdr:from>
      <cdr:x>0.71227</cdr:x>
      <cdr:y>0.57879</cdr:y>
    </cdr:from>
    <cdr:to>
      <cdr:x>0.80128</cdr:x>
      <cdr:y>0.76344</cdr:y>
    </cdr:to>
    <cdr:sp macro="" textlink="">
      <cdr:nvSpPr>
        <cdr:cNvPr id="2" name="CuadroTexto 1"/>
        <cdr:cNvSpPr txBox="1"/>
      </cdr:nvSpPr>
      <cdr:spPr>
        <a:xfrm xmlns:a="http://schemas.openxmlformats.org/drawingml/2006/main">
          <a:off x="1974424" y="2085720"/>
          <a:ext cx="246732" cy="6654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31182-0987-4AD7-B93D-39D45B15E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20509</Words>
  <Characters>112801</Characters>
  <Application>Microsoft Office Word</Application>
  <DocSecurity>0</DocSecurity>
  <Lines>940</Lines>
  <Paragraphs>266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133044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Contabilidad</cp:lastModifiedBy>
  <cp:revision>2</cp:revision>
  <cp:lastPrinted>2025-04-16T19:13:00Z</cp:lastPrinted>
  <dcterms:created xsi:type="dcterms:W3CDTF">2025-10-16T00:40:00Z</dcterms:created>
  <dcterms:modified xsi:type="dcterms:W3CDTF">2025-10-16T00:40:00Z</dcterms:modified>
</cp:coreProperties>
</file>